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C6" w:rsidRDefault="0045397C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智能控制技术概论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080"/>
        <w:gridCol w:w="583"/>
        <w:gridCol w:w="427"/>
        <w:gridCol w:w="4377"/>
        <w:gridCol w:w="1063"/>
        <w:gridCol w:w="795"/>
        <w:gridCol w:w="180"/>
        <w:gridCol w:w="698"/>
        <w:gridCol w:w="1767"/>
        <w:gridCol w:w="1351"/>
      </w:tblGrid>
      <w:tr w:rsidR="00E11AC6">
        <w:trPr>
          <w:trHeight w:val="340"/>
          <w:jc w:val="center"/>
        </w:trPr>
        <w:tc>
          <w:tcPr>
            <w:tcW w:w="8931" w:type="dxa"/>
            <w:gridSpan w:val="8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智能控制技术概论</w:t>
            </w:r>
          </w:p>
        </w:tc>
        <w:tc>
          <w:tcPr>
            <w:tcW w:w="3816" w:type="dxa"/>
            <w:gridSpan w:val="3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eastAsia="SimSun"/>
                <w:b/>
                <w:sz w:val="21"/>
                <w:szCs w:val="21"/>
              </w:rPr>
              <w:t>Introduction to Intelligent Control Technology</w:t>
            </w:r>
          </w:p>
        </w:tc>
      </w:tr>
      <w:tr w:rsidR="00E11AC6">
        <w:trPr>
          <w:trHeight w:val="340"/>
          <w:jc w:val="center"/>
        </w:trPr>
        <w:tc>
          <w:tcPr>
            <w:tcW w:w="8931" w:type="dxa"/>
            <w:gridSpan w:val="8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3816" w:type="dxa"/>
            <w:gridSpan w:val="3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大学计算机基础</w:t>
            </w:r>
          </w:p>
        </w:tc>
      </w:tr>
      <w:tr w:rsidR="00E11AC6">
        <w:trPr>
          <w:trHeight w:val="340"/>
          <w:jc w:val="center"/>
        </w:trPr>
        <w:tc>
          <w:tcPr>
            <w:tcW w:w="8931" w:type="dxa"/>
            <w:gridSpan w:val="8"/>
            <w:vAlign w:val="center"/>
          </w:tcPr>
          <w:p w:rsidR="00E11AC6" w:rsidRDefault="0045397C" w:rsidP="009F285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Pr="009F285D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Pr="009F285D">
              <w:rPr>
                <w:rFonts w:eastAsia="SimSun" w:hint="eastAsia"/>
                <w:b/>
                <w:sz w:val="21"/>
                <w:szCs w:val="21"/>
                <w:lang w:eastAsia="zh-CN"/>
              </w:rPr>
              <w:t>至</w:t>
            </w:r>
            <w:r w:rsidRPr="009F285D">
              <w:rPr>
                <w:rFonts w:eastAsia="SimSun"/>
                <w:b/>
                <w:sz w:val="21"/>
                <w:szCs w:val="21"/>
                <w:lang w:eastAsia="zh-CN"/>
              </w:rPr>
              <w:t>16</w:t>
            </w:r>
            <w:r w:rsidRPr="009F285D">
              <w:rPr>
                <w:rFonts w:eastAsia="SimSun" w:hint="eastAsia"/>
                <w:b/>
                <w:sz w:val="21"/>
                <w:szCs w:val="21"/>
                <w:lang w:eastAsia="zh-CN"/>
              </w:rPr>
              <w:t>周，周</w:t>
            </w:r>
            <w:r w:rsidR="009F285D" w:rsidRPr="009F285D">
              <w:rPr>
                <w:rFonts w:eastAsia="SimSun" w:hint="eastAsia"/>
                <w:b/>
                <w:sz w:val="21"/>
                <w:szCs w:val="21"/>
                <w:lang w:eastAsia="zh-CN"/>
              </w:rPr>
              <w:t>二</w:t>
            </w:r>
            <w:r w:rsidRPr="009F285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="009F285D" w:rsidRPr="009F285D">
              <w:rPr>
                <w:rFonts w:eastAsia="SimSun"/>
                <w:b/>
                <w:sz w:val="21"/>
                <w:szCs w:val="21"/>
                <w:lang w:eastAsia="zh-CN"/>
              </w:rPr>
              <w:t>5-7</w:t>
            </w:r>
            <w:r w:rsidR="009F285D" w:rsidRPr="009F285D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3816" w:type="dxa"/>
            <w:gridSpan w:val="3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 w:rsidR="009F285D" w:rsidRPr="009F285D">
              <w:rPr>
                <w:rFonts w:eastAsia="SimSun"/>
                <w:b/>
                <w:sz w:val="21"/>
                <w:szCs w:val="21"/>
                <w:lang w:eastAsia="zh-CN"/>
              </w:rPr>
              <w:t>6409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  <w:bookmarkStart w:id="0" w:name="_GoBack"/>
            <w:bookmarkEnd w:id="0"/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郑孟照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课前、课间和课后；教室；网络、面授解疑。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ind w:left="1050" w:hangingChars="498" w:hanging="1050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爱课程资源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https://www.icourse163.org/course/QDU-1206502801 ,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《人工智能基础》；《智能制造导论》，李晓雪，机械工业出版社。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《智能制造技术基础》，葛英飞，机械工业出版社；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             2.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为了达成智能制造的同学们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步入职场后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学以致用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贡献企业且迎合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”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中国制造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2025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”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本课程除了运用网络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更结合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IE,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使生产规划合理，达到最低成本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减少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WIP)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、最短工时、最高质量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往企业的最高效益目标前行；如何引导同学们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如何运用基本理论去实践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就是本课程的使命。</w:t>
            </w:r>
          </w:p>
        </w:tc>
      </w:tr>
      <w:tr w:rsidR="00E11AC6">
        <w:trPr>
          <w:trHeight w:val="1124"/>
          <w:jc w:val="center"/>
        </w:trPr>
        <w:tc>
          <w:tcPr>
            <w:tcW w:w="7956" w:type="dxa"/>
            <w:gridSpan w:val="6"/>
          </w:tcPr>
          <w:p w:rsidR="00E11AC6" w:rsidRDefault="0045397C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深度理解人工智能、智能制造及其技术等实例并实践之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熟悉机器人技术、制造技术及流程管控的核心操作方案。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运用空间思维和逻辑思维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设计智能产品；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学会独自设计智能产品，并在开发阶段投入创新元素。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三、素质目标：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培养学生具有主动参与设计、积极进取学习、崇尚科学知识、探究科学真理的学习态度和思想意识；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养成产学应用理论，串联实践与实事求是的科学态度和职业道德，引导同学们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重视智能化对企业操作成本、社会经济、环保及人文关怀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减少浪费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)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的重要作用，培养同学们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在未来工作中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成为一名具有环保及社会责任的设计者。</w:t>
            </w:r>
          </w:p>
        </w:tc>
        <w:tc>
          <w:tcPr>
            <w:tcW w:w="4791" w:type="dxa"/>
            <w:gridSpan w:val="5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/>
                <w:sz w:val="21"/>
                <w:szCs w:val="21"/>
                <w:lang w:eastAsia="zh-CN"/>
              </w:rPr>
              <w:t>应用数学、基础科学和工业工程专业知识的能力；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sz w:val="21"/>
                <w:szCs w:val="21"/>
                <w:lang w:eastAsia="zh-CN"/>
              </w:rPr>
              <w:t>2.</w:t>
            </w:r>
            <w:r>
              <w:rPr>
                <w:rFonts w:eastAsia="SimSun"/>
                <w:sz w:val="21"/>
                <w:szCs w:val="21"/>
                <w:lang w:eastAsia="zh-CN"/>
              </w:rPr>
              <w:t>设计与执行实验，以及分析与解释数据的能力；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sz w:val="21"/>
                <w:szCs w:val="21"/>
                <w:lang w:eastAsia="zh-CN"/>
              </w:rPr>
              <w:t>3.</w:t>
            </w:r>
            <w:r>
              <w:rPr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应用工业工程领域所需技能、技术</w:t>
            </w:r>
            <w:r>
              <w:rPr>
                <w:rFonts w:eastAsia="SimSun"/>
                <w:sz w:val="21"/>
                <w:szCs w:val="21"/>
                <w:lang w:eastAsia="zh-CN"/>
              </w:rPr>
              <w:lastRenderedPageBreak/>
              <w:t>以及软硬件工具的能力；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sz w:val="21"/>
                <w:szCs w:val="21"/>
                <w:lang w:eastAsia="zh-CN"/>
              </w:rPr>
              <w:t>4.</w:t>
            </w:r>
            <w:r>
              <w:rPr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对生产系统进行规划、建模、改善、评价的能力；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sz w:val="21"/>
                <w:szCs w:val="21"/>
                <w:lang w:eastAsia="zh-CN"/>
              </w:rPr>
              <w:t>5.</w:t>
            </w:r>
            <w:r>
              <w:rPr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项目管理、有效沟通协调、团队合作及创新能力；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eastAsia="SimSun"/>
                <w:sz w:val="21"/>
                <w:szCs w:val="21"/>
                <w:lang w:eastAsia="zh-CN"/>
              </w:rPr>
              <w:t>发掘、分析与解决系统工业工程问题的能力；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．认识科技发展现状与趋势，了解工程技术对环境、社会及全球的影响，并培养持续学习的习惯与能力；</w:t>
            </w:r>
          </w:p>
          <w:p w:rsidR="00E11AC6" w:rsidRDefault="0045397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sz w:val="21"/>
                <w:szCs w:val="21"/>
                <w:lang w:eastAsia="zh-CN"/>
              </w:rPr>
              <w:t>．理解职业道德、专业伦理与认知社会责任的能力。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E11AC6" w:rsidRDefault="0045397C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E11AC6">
        <w:trPr>
          <w:trHeight w:val="792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440" w:type="dxa"/>
            <w:gridSpan w:val="2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  <w:p w:rsidR="00E11AC6" w:rsidRDefault="0045397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878" w:type="dxa"/>
            <w:gridSpan w:val="2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E11AC6">
        <w:trPr>
          <w:trHeight w:val="340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人工智能的基本概念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人工智能的基本概念。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定义分解。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：概念拓展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及其运用。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课程思政融入点：从狭义和广义两方面介绍人工智能的基本概念，重点介绍我国人工智能的主要研究领域，进行爱国主义教育。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人工智能基本概念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E11AC6" w:rsidRDefault="00E11AC6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  <w:p w:rsidR="00E11AC6" w:rsidRDefault="00E11AC6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E11AC6">
        <w:trPr>
          <w:trHeight w:val="841"/>
          <w:jc w:val="center"/>
        </w:trPr>
        <w:tc>
          <w:tcPr>
            <w:tcW w:w="426" w:type="dxa"/>
            <w:vAlign w:val="center"/>
          </w:tcPr>
          <w:p w:rsidR="00E11AC6" w:rsidRDefault="00E11AC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11AC6" w:rsidRDefault="00E11AC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:rsidR="00E11AC6" w:rsidRDefault="00E11AC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人工智能的发展简史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人工智能的发展简史。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人工智能发展的主线。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人工智能技术在全世界范围内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里程碑的发展历程。</w:t>
            </w:r>
          </w:p>
          <w:p w:rsidR="00E11AC6" w:rsidRDefault="0045397C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课程思政融入点：培养工科学生认真细致、一丝不苟了解人工智能发展史的的工匠精神。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人工智能发展简史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340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人工智能研究的基本内容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人工智能研究的基本内容。</w:t>
            </w:r>
          </w:p>
          <w:p w:rsidR="00E11AC6" w:rsidRDefault="0045397C">
            <w:pPr>
              <w:spacing w:line="0" w:lineRule="atLeast"/>
              <w:ind w:left="632" w:hangingChars="300" w:hanging="632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人工智能在机器人，控制系统，仿真系统中的应用。</w:t>
            </w:r>
          </w:p>
          <w:p w:rsidR="00E11AC6" w:rsidRDefault="0045397C">
            <w:pPr>
              <w:spacing w:line="0" w:lineRule="atLeast"/>
              <w:ind w:left="628" w:hangingChars="298" w:hanging="628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人工智能与制造业的实践结合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产学结合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人工智能研究基本内容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340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未来人工智能社会畅想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未来人工智能的社会畅想。</w:t>
            </w:r>
          </w:p>
          <w:p w:rsidR="00E11AC6" w:rsidRDefault="0045397C">
            <w:pPr>
              <w:spacing w:line="0" w:lineRule="atLeast"/>
              <w:ind w:left="632" w:hangingChars="300" w:hanging="632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人工智能未来发展方向。</w:t>
            </w:r>
          </w:p>
          <w:p w:rsidR="00E11AC6" w:rsidRDefault="0045397C">
            <w:pPr>
              <w:spacing w:line="0" w:lineRule="atLeast"/>
              <w:ind w:left="628" w:hangingChars="298" w:hanging="628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实现弱智能向强智能转化的思路。</w:t>
            </w:r>
          </w:p>
          <w:p w:rsidR="00E11AC6" w:rsidRDefault="0045397C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课程思政融入点：引导学生思考人工智能可能应用的未知</w:t>
            </w:r>
          </w:p>
          <w:p w:rsidR="00E11AC6" w:rsidRDefault="0045397C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领域，培养学生不断实践、勇力探索、不怕失败、战胜困</w:t>
            </w:r>
          </w:p>
          <w:p w:rsidR="00E11AC6" w:rsidRDefault="0045397C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难的精神。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未来人工智能社会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340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智能制造概述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智能制造概述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E11AC6" w:rsidRDefault="0045397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智能制造的发展、智能制造的意义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E11AC6" w:rsidRDefault="0045397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智能制造的产生及实际应用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智能制造发展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340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智能制造概述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智能制造概述。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智能制造体系、全球智能制造现状与前景。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智能制造体系的构成。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智能制造体系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1268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智能制造装备技术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智能制造装备技术。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机器人技术、增材制造技术。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智能检测技术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重中之重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机器人技术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983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智能制造装备技术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智能制造装备技术。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高档数控机床技术。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物联网技术。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高档数控机床技术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11AC6">
        <w:trPr>
          <w:trHeight w:val="983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智能制造信息技术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智能制造信息技术。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新一代人工智能技术。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大数据技术。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新一代人工智能技术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983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智能制造信息技术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智能制造信息技术。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视觉识别技术。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视觉识别技术在制造业中的应用。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视觉识别技术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983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智能制造生产管理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智能制造生产管理。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精益制造管控。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智能制造工厂。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智能制造生产管理或生产流程管控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11AC6">
        <w:trPr>
          <w:trHeight w:val="983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智能制造服务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智能制造服务。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协同规划。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智能订制。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智能定制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983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智能制造服务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智能制造服务。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服役系统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智能健康管理。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智能供应链之优化。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78" w:type="dxa"/>
            <w:gridSpan w:val="2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智能供应链优化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E11AC6">
        <w:trPr>
          <w:trHeight w:val="340"/>
          <w:jc w:val="center"/>
        </w:trPr>
        <w:tc>
          <w:tcPr>
            <w:tcW w:w="2089" w:type="dxa"/>
            <w:gridSpan w:val="3"/>
            <w:tcBorders>
              <w:top w:val="single" w:sz="4" w:space="0" w:color="auto"/>
            </w:tcBorders>
            <w:vAlign w:val="center"/>
          </w:tcPr>
          <w:p w:rsidR="00E11AC6" w:rsidRDefault="0045397C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E11AC6" w:rsidRPr="0045397C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5397C">
              <w:rPr>
                <w:rFonts w:eastAsia="SimSun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</w:tcBorders>
            <w:vAlign w:val="center"/>
          </w:tcPr>
          <w:p w:rsidR="00E11AC6" w:rsidRDefault="00E11AC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E11AC6" w:rsidRDefault="00E11AC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</w:tcBorders>
            <w:vAlign w:val="center"/>
          </w:tcPr>
          <w:p w:rsidR="00E11AC6" w:rsidRDefault="00E11AC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E11AC6" w:rsidRDefault="00E11AC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E11AC6">
        <w:trPr>
          <w:trHeight w:val="340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5440" w:type="dxa"/>
            <w:gridSpan w:val="2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设计）</w:t>
            </w:r>
          </w:p>
        </w:tc>
        <w:tc>
          <w:tcPr>
            <w:tcW w:w="3996" w:type="dxa"/>
            <w:gridSpan w:val="4"/>
            <w:tcMar>
              <w:left w:w="28" w:type="dxa"/>
              <w:right w:w="28" w:type="dxa"/>
            </w:tcMar>
            <w:vAlign w:val="center"/>
          </w:tcPr>
          <w:p w:rsidR="00E11AC6" w:rsidRDefault="0045397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教学</w:t>
            </w:r>
          </w:p>
          <w:p w:rsidR="00E11AC6" w:rsidRDefault="0045397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E11AC6">
        <w:trPr>
          <w:trHeight w:val="1701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智能手机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模拟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仿真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智能手机模拟仿真。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结构设计。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控制系统设计。</w:t>
            </w:r>
          </w:p>
          <w:p w:rsidR="00E11AC6" w:rsidRDefault="0045397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课程思政融入点：在智能产品仿真中培养学生不畏繁琐、对产品反复修改、优化的能力。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996" w:type="dxa"/>
            <w:gridSpan w:val="4"/>
            <w:vAlign w:val="center"/>
          </w:tcPr>
          <w:p w:rsidR="00E11AC6" w:rsidRDefault="00453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上机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组，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借助电子书，运用仿真软件进行智能手机模拟仿真实例操作。</w:t>
            </w:r>
          </w:p>
        </w:tc>
      </w:tr>
      <w:tr w:rsidR="00E11AC6">
        <w:trPr>
          <w:trHeight w:val="340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智能家电模拟仿真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智能家电模拟仿真。</w:t>
            </w:r>
          </w:p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智能电机设计。</w:t>
            </w:r>
          </w:p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人性化设计。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996" w:type="dxa"/>
            <w:gridSpan w:val="4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组，借助电子书，运用仿真软件进行智能家电模拟仿真实例操作。</w:t>
            </w:r>
          </w:p>
        </w:tc>
      </w:tr>
      <w:tr w:rsidR="00E11AC6">
        <w:trPr>
          <w:trHeight w:val="340"/>
          <w:jc w:val="center"/>
        </w:trPr>
        <w:tc>
          <w:tcPr>
            <w:tcW w:w="426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080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智能机器人模拟</w:t>
            </w:r>
            <w:r>
              <w:rPr>
                <w:rFonts w:eastAsia="SimSun"/>
                <w:sz w:val="21"/>
                <w:szCs w:val="21"/>
                <w:lang w:eastAsia="zh-CN"/>
              </w:rPr>
              <w:t>仿真</w:t>
            </w:r>
          </w:p>
        </w:tc>
        <w:tc>
          <w:tcPr>
            <w:tcW w:w="583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郑孟照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智能机器人模拟仿真。</w:t>
            </w:r>
          </w:p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控制系统设计。</w:t>
            </w:r>
          </w:p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传感器设计。</w:t>
            </w:r>
          </w:p>
        </w:tc>
        <w:tc>
          <w:tcPr>
            <w:tcW w:w="795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996" w:type="dxa"/>
            <w:gridSpan w:val="4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组，借助电子书，运用仿真软件进行智能机器人模拟仿真实例操作。</w:t>
            </w:r>
          </w:p>
        </w:tc>
      </w:tr>
      <w:tr w:rsidR="00E11AC6">
        <w:trPr>
          <w:trHeight w:val="340"/>
          <w:jc w:val="center"/>
        </w:trPr>
        <w:tc>
          <w:tcPr>
            <w:tcW w:w="2089" w:type="dxa"/>
            <w:gridSpan w:val="3"/>
            <w:vAlign w:val="center"/>
          </w:tcPr>
          <w:p w:rsidR="00E11AC6" w:rsidRDefault="0045397C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427" w:type="dxa"/>
            <w:vAlign w:val="center"/>
          </w:tcPr>
          <w:p w:rsidR="00E11AC6" w:rsidRDefault="0045397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440" w:type="dxa"/>
            <w:gridSpan w:val="2"/>
            <w:vAlign w:val="center"/>
          </w:tcPr>
          <w:p w:rsidR="00E11AC6" w:rsidRDefault="00E11AC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E11AC6" w:rsidRDefault="00E11AC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3996" w:type="dxa"/>
            <w:gridSpan w:val="4"/>
            <w:vAlign w:val="center"/>
          </w:tcPr>
          <w:p w:rsidR="00E11AC6" w:rsidRDefault="00E11AC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E11AC6">
        <w:trPr>
          <w:trHeight w:val="340"/>
          <w:jc w:val="center"/>
        </w:trPr>
        <w:tc>
          <w:tcPr>
            <w:tcW w:w="6893" w:type="dxa"/>
            <w:gridSpan w:val="5"/>
            <w:vAlign w:val="center"/>
          </w:tcPr>
          <w:p w:rsidR="00E11AC6" w:rsidRDefault="0045397C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4503" w:type="dxa"/>
            <w:gridSpan w:val="5"/>
            <w:vAlign w:val="center"/>
          </w:tcPr>
          <w:p w:rsidR="00E11AC6" w:rsidRDefault="0045397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351" w:type="dxa"/>
            <w:vAlign w:val="center"/>
          </w:tcPr>
          <w:p w:rsidR="00E11AC6" w:rsidRDefault="0045397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E11AC6">
        <w:trPr>
          <w:trHeight w:val="340"/>
          <w:jc w:val="center"/>
        </w:trPr>
        <w:tc>
          <w:tcPr>
            <w:tcW w:w="6893" w:type="dxa"/>
            <w:gridSpan w:val="5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考勤</w:t>
            </w:r>
          </w:p>
        </w:tc>
        <w:tc>
          <w:tcPr>
            <w:tcW w:w="4503" w:type="dxa"/>
            <w:gridSpan w:val="5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351" w:type="dxa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5%</w:t>
            </w:r>
          </w:p>
        </w:tc>
      </w:tr>
      <w:tr w:rsidR="00E11AC6">
        <w:trPr>
          <w:trHeight w:val="340"/>
          <w:jc w:val="center"/>
        </w:trPr>
        <w:tc>
          <w:tcPr>
            <w:tcW w:w="6893" w:type="dxa"/>
            <w:gridSpan w:val="5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完成作业</w:t>
            </w:r>
          </w:p>
        </w:tc>
        <w:tc>
          <w:tcPr>
            <w:tcW w:w="4503" w:type="dxa"/>
            <w:gridSpan w:val="5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351" w:type="dxa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20%</w:t>
            </w:r>
          </w:p>
        </w:tc>
      </w:tr>
      <w:tr w:rsidR="00E11AC6">
        <w:trPr>
          <w:trHeight w:val="340"/>
          <w:jc w:val="center"/>
        </w:trPr>
        <w:tc>
          <w:tcPr>
            <w:tcW w:w="6893" w:type="dxa"/>
            <w:gridSpan w:val="5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上机实训</w:t>
            </w:r>
          </w:p>
        </w:tc>
        <w:tc>
          <w:tcPr>
            <w:tcW w:w="4503" w:type="dxa"/>
            <w:gridSpan w:val="5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态度，效果</w:t>
            </w:r>
          </w:p>
        </w:tc>
        <w:tc>
          <w:tcPr>
            <w:tcW w:w="1351" w:type="dxa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5%</w:t>
            </w:r>
          </w:p>
        </w:tc>
      </w:tr>
      <w:tr w:rsidR="00E11AC6">
        <w:trPr>
          <w:trHeight w:val="340"/>
          <w:jc w:val="center"/>
        </w:trPr>
        <w:tc>
          <w:tcPr>
            <w:tcW w:w="6893" w:type="dxa"/>
            <w:gridSpan w:val="5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期末考试</w:t>
            </w:r>
          </w:p>
        </w:tc>
        <w:tc>
          <w:tcPr>
            <w:tcW w:w="4503" w:type="dxa"/>
            <w:gridSpan w:val="5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按评分标准定</w:t>
            </w:r>
          </w:p>
        </w:tc>
        <w:tc>
          <w:tcPr>
            <w:tcW w:w="1351" w:type="dxa"/>
          </w:tcPr>
          <w:p w:rsidR="00E11AC6" w:rsidRDefault="0045397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70%</w:t>
            </w:r>
          </w:p>
        </w:tc>
      </w:tr>
      <w:tr w:rsidR="00E11AC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11AC6" w:rsidRDefault="0045397C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08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E11AC6">
        <w:trPr>
          <w:trHeight w:val="1933"/>
          <w:jc w:val="center"/>
        </w:trPr>
        <w:tc>
          <w:tcPr>
            <w:tcW w:w="12747" w:type="dxa"/>
            <w:gridSpan w:val="11"/>
          </w:tcPr>
          <w:p w:rsidR="00E11AC6" w:rsidRDefault="0045397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E11AC6" w:rsidRDefault="00E11AC6">
            <w:pPr>
              <w:spacing w:after="0" w:line="360" w:lineRule="exact"/>
              <w:ind w:right="42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E11AC6" w:rsidRDefault="00E11AC6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E11AC6" w:rsidRDefault="0045397C" w:rsidP="00C61422">
            <w:pPr>
              <w:wordWrap w:val="0"/>
              <w:spacing w:after="0" w:line="360" w:lineRule="exact"/>
              <w:ind w:right="420" w:firstLineChars="3500" w:firstLine="735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="00D646F8">
              <w:rPr>
                <w:rFonts w:eastAsia="SimSun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5852795</wp:posOffset>
                  </wp:positionH>
                  <wp:positionV relativeFrom="paragraph">
                    <wp:posOffset>-423545</wp:posOffset>
                  </wp:positionV>
                  <wp:extent cx="1171575" cy="608965"/>
                  <wp:effectExtent l="19050" t="0" r="952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0042221495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E11AC6" w:rsidRDefault="0045397C" w:rsidP="00D646F8">
            <w:pPr>
              <w:spacing w:after="0" w:line="360" w:lineRule="exact"/>
              <w:ind w:right="840" w:firstLineChars="3500" w:firstLine="735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="00D646F8">
              <w:rPr>
                <w:rFonts w:eastAsia="SimSun"/>
                <w:sz w:val="21"/>
                <w:szCs w:val="21"/>
                <w:lang w:eastAsia="zh-CN"/>
              </w:rPr>
              <w:t>2020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 w:rsidR="00D646F8">
              <w:rPr>
                <w:rFonts w:eastAsia="SimSun"/>
                <w:sz w:val="21"/>
                <w:szCs w:val="21"/>
                <w:lang w:eastAsia="zh-CN"/>
              </w:rPr>
              <w:t>08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="00D646F8">
              <w:rPr>
                <w:rFonts w:eastAsia="SimSun"/>
                <w:sz w:val="21"/>
                <w:szCs w:val="21"/>
                <w:lang w:eastAsia="zh-CN"/>
              </w:rPr>
              <w:t>21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</w:tc>
      </w:tr>
    </w:tbl>
    <w:p w:rsidR="00E11AC6" w:rsidRDefault="00E11AC6">
      <w:pPr>
        <w:spacing w:after="0" w:line="360" w:lineRule="exact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E11AC6" w:rsidSect="00384463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13EC0"/>
    <w:rsid w:val="00014F21"/>
    <w:rsid w:val="000206A1"/>
    <w:rsid w:val="000251D3"/>
    <w:rsid w:val="00032BF0"/>
    <w:rsid w:val="0004029A"/>
    <w:rsid w:val="0004428B"/>
    <w:rsid w:val="000561AB"/>
    <w:rsid w:val="00057CB9"/>
    <w:rsid w:val="00061F27"/>
    <w:rsid w:val="0006698D"/>
    <w:rsid w:val="00074014"/>
    <w:rsid w:val="00074B8E"/>
    <w:rsid w:val="00087610"/>
    <w:rsid w:val="00087B74"/>
    <w:rsid w:val="000B626E"/>
    <w:rsid w:val="000C2D4A"/>
    <w:rsid w:val="000D6321"/>
    <w:rsid w:val="000E0AE8"/>
    <w:rsid w:val="00113022"/>
    <w:rsid w:val="001356E4"/>
    <w:rsid w:val="00143434"/>
    <w:rsid w:val="001456DD"/>
    <w:rsid w:val="00155E5A"/>
    <w:rsid w:val="001700D0"/>
    <w:rsid w:val="00171228"/>
    <w:rsid w:val="001A4CA5"/>
    <w:rsid w:val="001B31E9"/>
    <w:rsid w:val="001D28E8"/>
    <w:rsid w:val="001F20BC"/>
    <w:rsid w:val="00200C80"/>
    <w:rsid w:val="002111AE"/>
    <w:rsid w:val="00227119"/>
    <w:rsid w:val="00295970"/>
    <w:rsid w:val="002B33A9"/>
    <w:rsid w:val="002C08EA"/>
    <w:rsid w:val="002C0D8F"/>
    <w:rsid w:val="002C2B8F"/>
    <w:rsid w:val="002E27E1"/>
    <w:rsid w:val="002F2398"/>
    <w:rsid w:val="003044FA"/>
    <w:rsid w:val="003403E2"/>
    <w:rsid w:val="00347A54"/>
    <w:rsid w:val="0035260A"/>
    <w:rsid w:val="0037561C"/>
    <w:rsid w:val="00384463"/>
    <w:rsid w:val="00392ADD"/>
    <w:rsid w:val="003A4C2F"/>
    <w:rsid w:val="003B0D5E"/>
    <w:rsid w:val="003C2E14"/>
    <w:rsid w:val="003C66D8"/>
    <w:rsid w:val="003D508B"/>
    <w:rsid w:val="003E2BAB"/>
    <w:rsid w:val="003E66A6"/>
    <w:rsid w:val="003F0D7C"/>
    <w:rsid w:val="00401DF8"/>
    <w:rsid w:val="0040473B"/>
    <w:rsid w:val="00411A5A"/>
    <w:rsid w:val="00414FC8"/>
    <w:rsid w:val="00440845"/>
    <w:rsid w:val="00442B13"/>
    <w:rsid w:val="00443031"/>
    <w:rsid w:val="004449CC"/>
    <w:rsid w:val="0045397C"/>
    <w:rsid w:val="00457E42"/>
    <w:rsid w:val="00473089"/>
    <w:rsid w:val="0048055E"/>
    <w:rsid w:val="004835AB"/>
    <w:rsid w:val="00493458"/>
    <w:rsid w:val="004A5391"/>
    <w:rsid w:val="004B3994"/>
    <w:rsid w:val="004B7C67"/>
    <w:rsid w:val="004D29DE"/>
    <w:rsid w:val="004E0266"/>
    <w:rsid w:val="004E0481"/>
    <w:rsid w:val="004E0D34"/>
    <w:rsid w:val="004E7804"/>
    <w:rsid w:val="0050576E"/>
    <w:rsid w:val="00507ECC"/>
    <w:rsid w:val="0054794C"/>
    <w:rsid w:val="005516EF"/>
    <w:rsid w:val="00552CAF"/>
    <w:rsid w:val="00560ED1"/>
    <w:rsid w:val="005639AB"/>
    <w:rsid w:val="005805E8"/>
    <w:rsid w:val="00586249"/>
    <w:rsid w:val="005911D3"/>
    <w:rsid w:val="00597545"/>
    <w:rsid w:val="005B10C8"/>
    <w:rsid w:val="005E6DC3"/>
    <w:rsid w:val="005F174F"/>
    <w:rsid w:val="005F74DF"/>
    <w:rsid w:val="0062153B"/>
    <w:rsid w:val="00631FA7"/>
    <w:rsid w:val="0063410F"/>
    <w:rsid w:val="00647B86"/>
    <w:rsid w:val="0065141E"/>
    <w:rsid w:val="006544A1"/>
    <w:rsid w:val="0065651C"/>
    <w:rsid w:val="0066798F"/>
    <w:rsid w:val="00670375"/>
    <w:rsid w:val="00680B69"/>
    <w:rsid w:val="00696B46"/>
    <w:rsid w:val="006C14A9"/>
    <w:rsid w:val="006C3D99"/>
    <w:rsid w:val="006C690A"/>
    <w:rsid w:val="006E1924"/>
    <w:rsid w:val="00714909"/>
    <w:rsid w:val="0071795C"/>
    <w:rsid w:val="00724307"/>
    <w:rsid w:val="007271CF"/>
    <w:rsid w:val="0073256E"/>
    <w:rsid w:val="00733AFF"/>
    <w:rsid w:val="00735FDE"/>
    <w:rsid w:val="00757A76"/>
    <w:rsid w:val="00770F0D"/>
    <w:rsid w:val="00771CE1"/>
    <w:rsid w:val="00776AF2"/>
    <w:rsid w:val="00780D66"/>
    <w:rsid w:val="00781F41"/>
    <w:rsid w:val="00785779"/>
    <w:rsid w:val="0079322F"/>
    <w:rsid w:val="007A154B"/>
    <w:rsid w:val="008147FF"/>
    <w:rsid w:val="00815F78"/>
    <w:rsid w:val="008222D6"/>
    <w:rsid w:val="00825F98"/>
    <w:rsid w:val="00830406"/>
    <w:rsid w:val="00837BA5"/>
    <w:rsid w:val="008427EF"/>
    <w:rsid w:val="008512DF"/>
    <w:rsid w:val="00855020"/>
    <w:rsid w:val="00885EED"/>
    <w:rsid w:val="00892ADC"/>
    <w:rsid w:val="00895D82"/>
    <w:rsid w:val="00896971"/>
    <w:rsid w:val="008A6241"/>
    <w:rsid w:val="008B4200"/>
    <w:rsid w:val="008D5E70"/>
    <w:rsid w:val="008F6642"/>
    <w:rsid w:val="00907E3A"/>
    <w:rsid w:val="00914BA6"/>
    <w:rsid w:val="00917C66"/>
    <w:rsid w:val="00930C61"/>
    <w:rsid w:val="009349EE"/>
    <w:rsid w:val="00935F4B"/>
    <w:rsid w:val="00961880"/>
    <w:rsid w:val="00961B70"/>
    <w:rsid w:val="009857D5"/>
    <w:rsid w:val="00985D72"/>
    <w:rsid w:val="00994958"/>
    <w:rsid w:val="009A2B5C"/>
    <w:rsid w:val="009A471A"/>
    <w:rsid w:val="009B1D1C"/>
    <w:rsid w:val="009B3EAE"/>
    <w:rsid w:val="009C0FF5"/>
    <w:rsid w:val="009C2948"/>
    <w:rsid w:val="009C3354"/>
    <w:rsid w:val="009D2071"/>
    <w:rsid w:val="009D3079"/>
    <w:rsid w:val="009F076F"/>
    <w:rsid w:val="009F285D"/>
    <w:rsid w:val="009F582F"/>
    <w:rsid w:val="009F7907"/>
    <w:rsid w:val="00A01FC1"/>
    <w:rsid w:val="00A050FE"/>
    <w:rsid w:val="00A17AC5"/>
    <w:rsid w:val="00A378AB"/>
    <w:rsid w:val="00A417BB"/>
    <w:rsid w:val="00A41C45"/>
    <w:rsid w:val="00A84D68"/>
    <w:rsid w:val="00A85774"/>
    <w:rsid w:val="00A96D09"/>
    <w:rsid w:val="00AA199F"/>
    <w:rsid w:val="00AB00C2"/>
    <w:rsid w:val="00AB0C21"/>
    <w:rsid w:val="00AE2A02"/>
    <w:rsid w:val="00AE48DD"/>
    <w:rsid w:val="00AF342D"/>
    <w:rsid w:val="00AF3555"/>
    <w:rsid w:val="00B02BBE"/>
    <w:rsid w:val="00B05FEC"/>
    <w:rsid w:val="00B16760"/>
    <w:rsid w:val="00B33509"/>
    <w:rsid w:val="00B57A43"/>
    <w:rsid w:val="00B57C8D"/>
    <w:rsid w:val="00B92EEE"/>
    <w:rsid w:val="00BB26A9"/>
    <w:rsid w:val="00BB35F5"/>
    <w:rsid w:val="00BD03ED"/>
    <w:rsid w:val="00C06D81"/>
    <w:rsid w:val="00C41D05"/>
    <w:rsid w:val="00C44B26"/>
    <w:rsid w:val="00C44C0B"/>
    <w:rsid w:val="00C479CB"/>
    <w:rsid w:val="00C61422"/>
    <w:rsid w:val="00C705DD"/>
    <w:rsid w:val="00C76FA2"/>
    <w:rsid w:val="00C906C5"/>
    <w:rsid w:val="00CA1AB8"/>
    <w:rsid w:val="00CA45F0"/>
    <w:rsid w:val="00CB0CC1"/>
    <w:rsid w:val="00CC4A46"/>
    <w:rsid w:val="00CC5666"/>
    <w:rsid w:val="00CD2F8F"/>
    <w:rsid w:val="00CD5105"/>
    <w:rsid w:val="00CE3A50"/>
    <w:rsid w:val="00CE743E"/>
    <w:rsid w:val="00CE7F6E"/>
    <w:rsid w:val="00CF0CC8"/>
    <w:rsid w:val="00D268B2"/>
    <w:rsid w:val="00D45246"/>
    <w:rsid w:val="00D62B41"/>
    <w:rsid w:val="00D646F8"/>
    <w:rsid w:val="00D71B4D"/>
    <w:rsid w:val="00D741C7"/>
    <w:rsid w:val="00D76B2F"/>
    <w:rsid w:val="00DB45CF"/>
    <w:rsid w:val="00DB499D"/>
    <w:rsid w:val="00DB5724"/>
    <w:rsid w:val="00DD1D93"/>
    <w:rsid w:val="00DF5733"/>
    <w:rsid w:val="00DF5C03"/>
    <w:rsid w:val="00E0505F"/>
    <w:rsid w:val="00E11AC6"/>
    <w:rsid w:val="00E15B7D"/>
    <w:rsid w:val="00E22B12"/>
    <w:rsid w:val="00E27C07"/>
    <w:rsid w:val="00E27EDA"/>
    <w:rsid w:val="00E413E8"/>
    <w:rsid w:val="00E46683"/>
    <w:rsid w:val="00E53E23"/>
    <w:rsid w:val="00E65C9A"/>
    <w:rsid w:val="00E9303B"/>
    <w:rsid w:val="00EA54D4"/>
    <w:rsid w:val="00EB702B"/>
    <w:rsid w:val="00EC2295"/>
    <w:rsid w:val="00ED3FCA"/>
    <w:rsid w:val="00EE2D92"/>
    <w:rsid w:val="00EE4C34"/>
    <w:rsid w:val="00EF357C"/>
    <w:rsid w:val="00EF6F8B"/>
    <w:rsid w:val="00F04FAF"/>
    <w:rsid w:val="00F06333"/>
    <w:rsid w:val="00F2636A"/>
    <w:rsid w:val="00F31667"/>
    <w:rsid w:val="00F41582"/>
    <w:rsid w:val="00F617C2"/>
    <w:rsid w:val="00F641FD"/>
    <w:rsid w:val="00F96D96"/>
    <w:rsid w:val="00FA0724"/>
    <w:rsid w:val="00FA39C4"/>
    <w:rsid w:val="00FB76B4"/>
    <w:rsid w:val="00FE22C8"/>
    <w:rsid w:val="00FE6E06"/>
    <w:rsid w:val="00FF3F04"/>
    <w:rsid w:val="10AC68D8"/>
    <w:rsid w:val="28AD1D92"/>
    <w:rsid w:val="2C23799B"/>
    <w:rsid w:val="39E44AFE"/>
    <w:rsid w:val="49712D1A"/>
    <w:rsid w:val="55920ABC"/>
    <w:rsid w:val="62602DFF"/>
    <w:rsid w:val="6FCF29C8"/>
    <w:rsid w:val="7772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63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84463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384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84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84463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7">
    <w:name w:val="Table Grid"/>
    <w:basedOn w:val="a1"/>
    <w:rsid w:val="003844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semiHidden/>
    <w:unhideWhenUsed/>
    <w:rsid w:val="00384463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384463"/>
    <w:rPr>
      <w:i/>
      <w:iCs/>
    </w:rPr>
  </w:style>
  <w:style w:type="character" w:styleId="aa">
    <w:name w:val="Hyperlink"/>
    <w:basedOn w:val="a0"/>
    <w:rsid w:val="00384463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384463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384463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384463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384463"/>
    <w:rPr>
      <w:rFonts w:eastAsia="PMingLiU"/>
      <w:sz w:val="18"/>
      <w:szCs w:val="18"/>
      <w:lang w:eastAsia="en-US"/>
    </w:rPr>
  </w:style>
  <w:style w:type="paragraph" w:styleId="ab">
    <w:name w:val="List Paragraph"/>
    <w:basedOn w:val="a"/>
    <w:uiPriority w:val="34"/>
    <w:unhideWhenUsed/>
    <w:qFormat/>
    <w:rsid w:val="00384463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384463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EE7E77-D1ED-4951-B7B7-0CC7EA09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503</Words>
  <Characters>2868</Characters>
  <Application>Microsoft Office Word</Application>
  <DocSecurity>0</DocSecurity>
  <Lines>23</Lines>
  <Paragraphs>6</Paragraphs>
  <ScaleCrop>false</ScaleCrop>
  <Company>Microsoft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55</cp:revision>
  <cp:lastPrinted>2017-01-05T16:24:00Z</cp:lastPrinted>
  <dcterms:created xsi:type="dcterms:W3CDTF">2020-08-13T04:44:00Z</dcterms:created>
  <dcterms:modified xsi:type="dcterms:W3CDTF">2020-09-14T07:36:00Z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