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3A32C4" w:rsidRDefault="003A32C4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r w:rsidRPr="003A32C4">
        <w:rPr>
          <w:rFonts w:eastAsiaTheme="minorEastAsia" w:hint="eastAsia"/>
          <w:b/>
          <w:sz w:val="32"/>
          <w:szCs w:val="32"/>
          <w:lang w:eastAsia="zh-CN"/>
        </w:rPr>
        <w:t>《电机实习》课程教学大纲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660"/>
        <w:gridCol w:w="1418"/>
        <w:gridCol w:w="1275"/>
        <w:gridCol w:w="466"/>
        <w:gridCol w:w="490"/>
        <w:gridCol w:w="1093"/>
      </w:tblGrid>
      <w:tr w:rsidR="00113022" w:rsidRPr="003A32C4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2E27E1" w:rsidRPr="003A32C4" w:rsidRDefault="003A32C4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课程名称：电机实习</w:t>
            </w:r>
          </w:p>
        </w:tc>
        <w:tc>
          <w:tcPr>
            <w:tcW w:w="4742" w:type="dxa"/>
            <w:gridSpan w:val="5"/>
            <w:vAlign w:val="center"/>
          </w:tcPr>
          <w:p w:rsidR="002E27E1" w:rsidRPr="003A32C4" w:rsidRDefault="003A32C4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选修）：选修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Electric Machinery Practice</w:t>
            </w:r>
          </w:p>
        </w:tc>
      </w:tr>
      <w:tr w:rsidR="009C78AB" w:rsidRPr="003A32C4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9C78AB" w:rsidRPr="003A32C4" w:rsidRDefault="003A32C4" w:rsidP="0087348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总学时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周学时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学分：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742" w:type="dxa"/>
            <w:gridSpan w:val="5"/>
            <w:vAlign w:val="center"/>
          </w:tcPr>
          <w:p w:rsidR="009C78AB" w:rsidRPr="003A32C4" w:rsidRDefault="003A32C4" w:rsidP="00185D5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其中实验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实践学时：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0/54</w:t>
            </w:r>
          </w:p>
        </w:tc>
      </w:tr>
      <w:tr w:rsidR="009C78AB" w:rsidRPr="003A32C4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TW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先修课程：无</w:t>
            </w:r>
          </w:p>
        </w:tc>
      </w:tr>
      <w:tr w:rsidR="009C78AB" w:rsidRPr="003A32C4" w:rsidTr="00631FA7">
        <w:trPr>
          <w:trHeight w:val="340"/>
          <w:jc w:val="center"/>
        </w:trPr>
        <w:tc>
          <w:tcPr>
            <w:tcW w:w="4659" w:type="dxa"/>
            <w:gridSpan w:val="5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授课时间：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至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18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周，周二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5-7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授课地点：粤台产业科技学院机电楼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201</w:t>
            </w:r>
          </w:p>
        </w:tc>
      </w:tr>
      <w:tr w:rsidR="009C78AB" w:rsidRPr="003A32C4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授课对象：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2017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自动化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1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任课教师姓名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职称：林明灶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 / 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答疑时间、地点与方式：课前、课间和课后；教室；网络、交流。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1A7347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课程考核方式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：开卷（）闭卷（）课程论文（）其它（√）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使用教材：《电工与电子技术实验教程》，肖明明，中山大学出版社。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Pr="003A32C4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 xml:space="preserve">1. </w:t>
            </w:r>
            <w:r w:rsidRPr="003A32C4"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各精品资源共享课网站。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9C78AB" w:rsidRPr="003A32C4" w:rsidRDefault="003A32C4" w:rsidP="00FD401B">
            <w:pPr>
              <w:shd w:val="clear" w:color="auto" w:fill="FFFFFF"/>
              <w:spacing w:line="360" w:lineRule="atLeast"/>
              <w:ind w:leftChars="130" w:left="312" w:rightChars="152" w:right="365" w:firstLine="480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本课程学习内容为模拟电子技术实验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授课内容含常用电子仪器的使用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直流稳压电源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低频单级电压放大器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负反馈放大器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射极输出器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差动放大器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集成运算放大器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集成运算放大器的应用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, RC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正弦波振荡器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晶闸管可控整流电路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,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数字电子技术实验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</w:p>
        </w:tc>
      </w:tr>
      <w:tr w:rsidR="009C78AB" w:rsidRPr="003A32C4" w:rsidTr="00870778">
        <w:trPr>
          <w:trHeight w:val="983"/>
          <w:jc w:val="center"/>
        </w:trPr>
        <w:tc>
          <w:tcPr>
            <w:tcW w:w="6077" w:type="dxa"/>
            <w:gridSpan w:val="6"/>
          </w:tcPr>
          <w:p w:rsidR="009C78AB" w:rsidRPr="003A32C4" w:rsidRDefault="003A32C4" w:rsidP="00FD401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C23978" w:rsidRPr="003A32C4" w:rsidRDefault="003A32C4" w:rsidP="00FD401B">
            <w:pPr>
              <w:tabs>
                <w:tab w:val="left" w:pos="1440"/>
              </w:tabs>
              <w:spacing w:after="0" w:line="360" w:lineRule="exact"/>
              <w:ind w:leftChars="176" w:left="632" w:rightChars="126" w:right="302" w:hangingChars="100" w:hanging="210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本课程学习电工与电子技术，重在实习，注重动手、加强实践、培养兴趣和激励创新。实验层次包括验证性实验、综合性实验、设计性试验和创新性实验，以适应新形势下电工与电子技术教学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使得本课程学习达成先进性和实用性目标。</w:t>
            </w:r>
          </w:p>
          <w:p w:rsidR="009C78AB" w:rsidRPr="003A32C4" w:rsidRDefault="009C78AB" w:rsidP="009C78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324" w:type="dxa"/>
            <w:gridSpan w:val="4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(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1. 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掌握从事自动化领域所需数学和基础科学知识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2.</w:t>
            </w:r>
            <w:r w:rsidRPr="003A32C4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对自动化系统或产品的技术进行分析、解释相关数据及独立设计的能力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3.</w:t>
            </w:r>
            <w:r w:rsidRPr="003A32C4">
              <w:rPr>
                <w:rFonts w:eastAsiaTheme="minorEastAsia"/>
                <w:lang w:eastAsia="zh-CN"/>
              </w:rPr>
              <w:t xml:space="preserve"> 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掌握自动化专业中</w:t>
            </w:r>
            <w:r w:rsidRPr="003A32C4">
              <w:rPr>
                <w:rFonts w:eastAsiaTheme="minorEastAsia"/>
                <w:sz w:val="23"/>
                <w:szCs w:val="23"/>
                <w:lang w:eastAsia="zh-CN"/>
              </w:rPr>
              <w:t>“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信息、控制和系统</w:t>
            </w:r>
            <w:r w:rsidRPr="003A32C4">
              <w:rPr>
                <w:rFonts w:eastAsiaTheme="minorEastAsia"/>
                <w:sz w:val="23"/>
                <w:szCs w:val="23"/>
                <w:lang w:eastAsia="zh-CN"/>
              </w:rPr>
              <w:t>”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的基本原理及应用方法，了解自动化领域的前沿和发展动态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4.</w:t>
            </w:r>
            <w:r w:rsidRPr="003A32C4">
              <w:rPr>
                <w:rFonts w:eastAsiaTheme="minorEastAsia"/>
                <w:sz w:val="23"/>
                <w:szCs w:val="23"/>
                <w:lang w:eastAsia="zh-CN"/>
              </w:rPr>
              <w:t xml:space="preserve"> 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具有创新意识和自动化新产品、新设备进行开发和设计的能力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5.</w:t>
            </w:r>
            <w:r w:rsidRPr="003A32C4">
              <w:rPr>
                <w:rFonts w:eastAsiaTheme="minorEastAsia"/>
                <w:lang w:eastAsia="zh-CN"/>
              </w:rPr>
              <w:t xml:space="preserve"> 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项目管理、有效沟通协调、团队合作及创新能力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■核心能力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6. 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发掘、分析与解决复杂自动化工程问题的能力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9C78AB" w:rsidRPr="003A32C4" w:rsidRDefault="003A32C4" w:rsidP="009C78A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7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认识科技发展现状与趋势，了解工程技术对环境、社会及全球的影响，并培养终身学习的习惯与能力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；</w:t>
            </w:r>
          </w:p>
          <w:p w:rsidR="009C78AB" w:rsidRPr="003A32C4" w:rsidRDefault="003A32C4" w:rsidP="0087077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8</w:t>
            </w: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．</w:t>
            </w:r>
            <w:r w:rsidRPr="003A32C4">
              <w:rPr>
                <w:rFonts w:eastAsiaTheme="minorEastAsia" w:hint="eastAsia"/>
                <w:sz w:val="23"/>
                <w:szCs w:val="23"/>
                <w:lang w:eastAsia="zh-CN"/>
              </w:rPr>
              <w:t>理解职业道德、专业伦理与认知社会责任的能力</w:t>
            </w:r>
            <w:r w:rsidRPr="003A32C4">
              <w:rPr>
                <w:rFonts w:eastAsiaTheme="minorEastAsia"/>
                <w:b/>
                <w:sz w:val="21"/>
                <w:szCs w:val="21"/>
                <w:lang w:eastAsia="zh-CN"/>
              </w:rPr>
              <w:t>.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C78AB" w:rsidRPr="003A32C4" w:rsidTr="0086149F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353" w:type="dxa"/>
            <w:gridSpan w:val="3"/>
            <w:tcMar>
              <w:left w:w="28" w:type="dxa"/>
              <w:right w:w="28" w:type="dxa"/>
            </w:tcMar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9C78AB" w:rsidRPr="003A32C4" w:rsidTr="0086149F">
        <w:trPr>
          <w:trHeight w:val="340"/>
          <w:jc w:val="center"/>
        </w:trPr>
        <w:tc>
          <w:tcPr>
            <w:tcW w:w="648" w:type="dxa"/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9C78AB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TW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元件介绍</w:t>
            </w:r>
          </w:p>
        </w:tc>
        <w:tc>
          <w:tcPr>
            <w:tcW w:w="623" w:type="dxa"/>
            <w:vAlign w:val="center"/>
          </w:tcPr>
          <w:p w:rsidR="009C78AB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E5046D" w:rsidRPr="003A32C4" w:rsidRDefault="003A32C4" w:rsidP="00870778">
            <w:pPr>
              <w:shd w:val="clear" w:color="auto" w:fill="FFFFFF"/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万用电表对常用电子元器件检测</w:t>
            </w:r>
          </w:p>
          <w:p w:rsidR="00E5046D" w:rsidRPr="003A32C4" w:rsidRDefault="003A32C4" w:rsidP="00870778">
            <w:pPr>
              <w:shd w:val="clear" w:color="auto" w:fill="FFFFFF"/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电阻器的标称值及精度色环标志法</w:t>
            </w:r>
          </w:p>
          <w:p w:rsidR="009C78AB" w:rsidRPr="003A32C4" w:rsidRDefault="003A32C4" w:rsidP="00870778">
            <w:pPr>
              <w:shd w:val="clear" w:color="auto" w:fill="FFFFFF"/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常用集成电路引脚图</w:t>
            </w:r>
          </w:p>
        </w:tc>
        <w:tc>
          <w:tcPr>
            <w:tcW w:w="956" w:type="dxa"/>
            <w:gridSpan w:val="2"/>
            <w:vAlign w:val="center"/>
          </w:tcPr>
          <w:p w:rsidR="009C78AB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vAlign w:val="center"/>
          </w:tcPr>
          <w:p w:rsidR="009C78AB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5764E6">
        <w:trPr>
          <w:trHeight w:val="340"/>
          <w:jc w:val="center"/>
        </w:trPr>
        <w:tc>
          <w:tcPr>
            <w:tcW w:w="648" w:type="dxa"/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TW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仪器使用与量测</w:t>
            </w:r>
          </w:p>
        </w:tc>
        <w:tc>
          <w:tcPr>
            <w:tcW w:w="623" w:type="dxa"/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万用电表</w:t>
            </w:r>
          </w:p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电源供应器</w:t>
            </w:r>
          </w:p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示波器原理及使用</w:t>
            </w:r>
          </w:p>
        </w:tc>
        <w:tc>
          <w:tcPr>
            <w:tcW w:w="956" w:type="dxa"/>
            <w:gridSpan w:val="2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5764E6">
        <w:trPr>
          <w:trHeight w:val="340"/>
          <w:jc w:val="center"/>
        </w:trPr>
        <w:tc>
          <w:tcPr>
            <w:tcW w:w="648" w:type="dxa"/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仪器使用与量测</w:t>
            </w:r>
          </w:p>
        </w:tc>
        <w:tc>
          <w:tcPr>
            <w:tcW w:w="623" w:type="dxa"/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万用电表</w:t>
            </w:r>
          </w:p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电源供应器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示波器原理及使用</w:t>
            </w:r>
          </w:p>
        </w:tc>
        <w:tc>
          <w:tcPr>
            <w:tcW w:w="956" w:type="dxa"/>
            <w:gridSpan w:val="2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5764E6">
        <w:trPr>
          <w:trHeight w:val="340"/>
          <w:jc w:val="center"/>
        </w:trPr>
        <w:tc>
          <w:tcPr>
            <w:tcW w:w="648" w:type="dxa"/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电路与控制基础实验</w:t>
            </w:r>
          </w:p>
        </w:tc>
        <w:tc>
          <w:tcPr>
            <w:tcW w:w="623" w:type="dxa"/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直流电路的基本分析方法</w:t>
            </w:r>
          </w:p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动态电路的分析</w:t>
            </w:r>
          </w:p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正弦交流电路的分析与测量</w:t>
            </w:r>
          </w:p>
        </w:tc>
        <w:tc>
          <w:tcPr>
            <w:tcW w:w="956" w:type="dxa"/>
            <w:gridSpan w:val="2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5764E6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模拟电子技术基础实验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晶体管共射极单管放大器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负反馈放大器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射极跟随器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差动放大器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5764E6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集成运算放大器的基本应用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集成运算放大器指标测试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模拟运算电路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有源滤波器</w:t>
            </w:r>
          </w:p>
        </w:tc>
        <w:tc>
          <w:tcPr>
            <w:tcW w:w="956" w:type="dxa"/>
            <w:gridSpan w:val="2"/>
            <w:tcBorders>
              <w:bottom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F4356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集成运算放大器的基本应用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电压比较器</w:t>
            </w:r>
          </w:p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波形发生器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F4356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低频功率放大器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color w:val="333333"/>
                <w:sz w:val="21"/>
                <w:szCs w:val="21"/>
                <w:lang w:eastAsia="zh-CN"/>
              </w:rPr>
              <w:t>OTL</w:t>
            </w: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功率放大器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集成功率放大器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9C78AB" w:rsidRPr="003A32C4" w:rsidTr="00870778">
        <w:trPr>
          <w:trHeight w:val="8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AB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期中总结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AB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AB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期中课程总结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AB" w:rsidRPr="003A32C4" w:rsidRDefault="003A32C4" w:rsidP="007866DE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实验操作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AB" w:rsidRPr="003A32C4" w:rsidRDefault="009C78AB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870778" w:rsidRPr="003A32C4" w:rsidTr="00D06888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直流电源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串联型晶体管稳压电源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集成稳压器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D06888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数字电子技术基础实验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集成逻辑门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晶体管开关特性及应用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门电路的逻辑功能及测试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集成逻辑电路的连接和驱动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D06888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组合逻辑电路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组合逻辑电路的分析与测试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译码器及其应用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数据选择器及其应用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D06888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脉冲单元电路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单稳态触发器及其应用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color w:val="333333"/>
                <w:sz w:val="21"/>
                <w:szCs w:val="21"/>
                <w:lang w:eastAsia="zh-CN"/>
              </w:rPr>
              <w:t>555</w:t>
            </w: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时基电路及其应用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数模转换器和模数转换器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D06888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电路与控制综合设计性实验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受控源</w:t>
            </w:r>
            <w:r w:rsidRPr="003A32C4">
              <w:rPr>
                <w:rFonts w:eastAsiaTheme="minorEastAsia"/>
                <w:color w:val="333333"/>
                <w:sz w:val="21"/>
                <w:szCs w:val="21"/>
                <w:lang w:eastAsia="zh-CN"/>
              </w:rPr>
              <w:t>VCVS</w:t>
            </w: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，</w:t>
            </w:r>
            <w:r w:rsidRPr="003A32C4">
              <w:rPr>
                <w:rFonts w:eastAsiaTheme="minorEastAsia"/>
                <w:color w:val="333333"/>
                <w:sz w:val="21"/>
                <w:szCs w:val="21"/>
                <w:lang w:eastAsia="zh-CN"/>
              </w:rPr>
              <w:t>VCCS</w:t>
            </w: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，</w:t>
            </w:r>
            <w:r w:rsidRPr="003A32C4">
              <w:rPr>
                <w:rFonts w:eastAsiaTheme="minorEastAsia"/>
                <w:color w:val="333333"/>
                <w:sz w:val="21"/>
                <w:szCs w:val="21"/>
                <w:lang w:eastAsia="zh-CN"/>
              </w:rPr>
              <w:t>CCVS</w:t>
            </w: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，</w:t>
            </w:r>
            <w:r w:rsidRPr="003A32C4">
              <w:rPr>
                <w:rFonts w:eastAsiaTheme="minorEastAsia"/>
                <w:color w:val="333333"/>
                <w:sz w:val="21"/>
                <w:szCs w:val="21"/>
                <w:lang w:eastAsia="zh-CN"/>
              </w:rPr>
              <w:t>CCCS</w:t>
            </w: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的实验研究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互感电路的测定及研究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回转器及其应用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0C060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模拟电路综合设计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温度监测及控制电路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晶闸管可控整流电路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0C060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模拟电路综合设计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万用电表的设计与测试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870778" w:rsidRPr="003A32C4" w:rsidTr="000C0607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数字电路综合设计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color w:val="333333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智力竞赛抢答器</w:t>
            </w:r>
          </w:p>
          <w:p w:rsidR="00870778" w:rsidRPr="003A32C4" w:rsidRDefault="003A32C4" w:rsidP="00870778">
            <w:pPr>
              <w:shd w:val="clear" w:color="auto" w:fill="FFFFFF"/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color w:val="333333"/>
                <w:sz w:val="21"/>
                <w:szCs w:val="21"/>
                <w:lang w:eastAsia="zh-CN"/>
              </w:rPr>
              <w:t>数字定时器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教学与实验混合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778" w:rsidRPr="003A32C4" w:rsidRDefault="003A32C4" w:rsidP="00870778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3D0B86" w:rsidRPr="003A32C4" w:rsidTr="00870778">
        <w:trPr>
          <w:trHeight w:val="78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86" w:rsidRPr="003A32C4" w:rsidRDefault="003A32C4" w:rsidP="003D0B86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86" w:rsidRPr="003A32C4" w:rsidRDefault="003A32C4" w:rsidP="003D0B86">
            <w:pPr>
              <w:spacing w:after="0" w:line="32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期末总结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86" w:rsidRPr="003A32C4" w:rsidRDefault="003A32C4" w:rsidP="003D0B86">
            <w:pPr>
              <w:spacing w:after="0"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86" w:rsidRPr="003A32C4" w:rsidRDefault="003A32C4" w:rsidP="003D0B86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期末课程总结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86" w:rsidRPr="003A32C4" w:rsidRDefault="003A32C4" w:rsidP="007866DE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实验操作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86" w:rsidRPr="003A32C4" w:rsidRDefault="003A32C4" w:rsidP="003D0B86">
            <w:pPr>
              <w:spacing w:after="0" w:line="320" w:lineRule="exac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课后习题</w:t>
            </w:r>
          </w:p>
        </w:tc>
      </w:tr>
      <w:tr w:rsidR="009C78AB" w:rsidRPr="003A32C4" w:rsidTr="0086149F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right"/>
              <w:rPr>
                <w:rFonts w:eastAsiaTheme="minorEastAsia"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9C78AB" w:rsidRPr="003A32C4" w:rsidRDefault="003A32C4" w:rsidP="009C78AB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</w:tcBorders>
            <w:vAlign w:val="center"/>
          </w:tcPr>
          <w:p w:rsidR="009C78AB" w:rsidRPr="003A32C4" w:rsidRDefault="009C78AB" w:rsidP="009C78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</w:tcBorders>
            <w:vAlign w:val="center"/>
          </w:tcPr>
          <w:p w:rsidR="009C78AB" w:rsidRPr="003A32C4" w:rsidRDefault="009C78AB" w:rsidP="009C78AB">
            <w:pPr>
              <w:spacing w:after="0" w:line="360" w:lineRule="exact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9C78AB" w:rsidRPr="003A32C4" w:rsidRDefault="009C78AB" w:rsidP="009C78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C78AB" w:rsidRPr="003A32C4" w:rsidRDefault="009C78AB" w:rsidP="009C78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C78AB" w:rsidRPr="003A32C4" w:rsidRDefault="009C78AB" w:rsidP="009C78AB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9C78AB" w:rsidRPr="003A32C4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 w:rsidR="009C78AB" w:rsidRPr="003A32C4" w:rsidRDefault="003A32C4" w:rsidP="009C78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360" w:lineRule="exact"/>
              <w:ind w:left="180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9C78AB" w:rsidRPr="003A32C4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811" w:type="dxa"/>
            <w:gridSpan w:val="6"/>
            <w:vAlign w:val="center"/>
          </w:tcPr>
          <w:p w:rsidR="009C78AB" w:rsidRPr="003A32C4" w:rsidRDefault="003A32C4" w:rsidP="00184F85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不迟到早退旷课</w:t>
            </w:r>
          </w:p>
        </w:tc>
        <w:tc>
          <w:tcPr>
            <w:tcW w:w="1583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9C78AB" w:rsidRPr="003A32C4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完成作业</w:t>
            </w:r>
          </w:p>
        </w:tc>
        <w:tc>
          <w:tcPr>
            <w:tcW w:w="5811" w:type="dxa"/>
            <w:gridSpan w:val="6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次数、质量，是否按时，是否抄袭</w:t>
            </w:r>
          </w:p>
        </w:tc>
        <w:tc>
          <w:tcPr>
            <w:tcW w:w="1583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9C78AB" w:rsidRPr="003A32C4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上机实训</w:t>
            </w:r>
          </w:p>
        </w:tc>
        <w:tc>
          <w:tcPr>
            <w:tcW w:w="5811" w:type="dxa"/>
            <w:gridSpan w:val="6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态度，效果</w:t>
            </w:r>
          </w:p>
        </w:tc>
        <w:tc>
          <w:tcPr>
            <w:tcW w:w="1583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9C78AB" w:rsidRPr="003A32C4" w:rsidTr="00631FA7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 w:rsidR="00884D61" w:rsidRPr="003A32C4" w:rsidRDefault="003A32C4" w:rsidP="00884D61">
            <w:pPr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1.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评价标准：按照实验操作步骤及量测结果标准评分。</w:t>
            </w:r>
          </w:p>
          <w:p w:rsidR="009C78AB" w:rsidRPr="003A32C4" w:rsidRDefault="003A32C4" w:rsidP="00884D61">
            <w:pPr>
              <w:snapToGrid w:val="0"/>
              <w:spacing w:after="0"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2.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要求：能灵活运用所学基础知识与正确实验方法进行操作，独立、按时完成考试。</w:t>
            </w:r>
          </w:p>
        </w:tc>
        <w:tc>
          <w:tcPr>
            <w:tcW w:w="1583" w:type="dxa"/>
            <w:gridSpan w:val="2"/>
            <w:vAlign w:val="center"/>
          </w:tcPr>
          <w:p w:rsidR="009C78AB" w:rsidRPr="003A32C4" w:rsidRDefault="003A32C4" w:rsidP="009C78AB">
            <w:pPr>
              <w:snapToGrid w:val="0"/>
              <w:spacing w:after="0" w:line="0" w:lineRule="atLeast"/>
              <w:ind w:left="180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30%</w:t>
            </w:r>
          </w:p>
        </w:tc>
      </w:tr>
      <w:tr w:rsidR="009C78AB" w:rsidRPr="003A32C4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C78AB" w:rsidRPr="003A32C4" w:rsidRDefault="003A32C4" w:rsidP="00EE63EE">
            <w:pPr>
              <w:snapToGrid w:val="0"/>
              <w:spacing w:after="0" w:line="360" w:lineRule="exact"/>
              <w:ind w:left="18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大纲编写时间：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2019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9C78AB" w:rsidRPr="003A32C4" w:rsidTr="009F4BB2">
        <w:trPr>
          <w:trHeight w:val="1810"/>
          <w:jc w:val="center"/>
        </w:trPr>
        <w:tc>
          <w:tcPr>
            <w:tcW w:w="9401" w:type="dxa"/>
            <w:gridSpan w:val="10"/>
          </w:tcPr>
          <w:p w:rsidR="009C78AB" w:rsidRPr="003A32C4" w:rsidRDefault="003A32C4" w:rsidP="009C78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b/>
                <w:szCs w:val="21"/>
                <w:lang w:eastAsia="zh-CN"/>
              </w:rPr>
              <w:t>系（部）审查意见：</w:t>
            </w:r>
          </w:p>
          <w:p w:rsidR="009C78AB" w:rsidRPr="003A32C4" w:rsidRDefault="009C78AB" w:rsidP="009C78AB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9C78AB" w:rsidRPr="003A32C4" w:rsidRDefault="009C78AB" w:rsidP="009C78AB">
            <w:pPr>
              <w:spacing w:after="0" w:line="360" w:lineRule="exact"/>
              <w:ind w:firstLineChars="27" w:firstLine="57"/>
              <w:jc w:val="left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</w:p>
          <w:p w:rsidR="009C78AB" w:rsidRPr="003A32C4" w:rsidRDefault="009C78AB" w:rsidP="009C78AB">
            <w:pPr>
              <w:spacing w:after="0" w:line="360" w:lineRule="exact"/>
              <w:ind w:right="420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9C78AB" w:rsidRPr="003A32C4" w:rsidRDefault="003A32C4" w:rsidP="009C78AB">
            <w:pPr>
              <w:wordWrap w:val="0"/>
              <w:spacing w:after="0" w:line="360" w:lineRule="exact"/>
              <w:ind w:right="210"/>
              <w:jc w:val="right"/>
              <w:rPr>
                <w:rFonts w:eastAsiaTheme="minorEastAsia"/>
                <w:sz w:val="21"/>
                <w:szCs w:val="21"/>
                <w:lang w:eastAsia="zh-CN"/>
              </w:rPr>
            </w:pP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系（部）主任签名：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日期：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    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年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月</w:t>
            </w:r>
            <w:r w:rsidRPr="003A32C4">
              <w:rPr>
                <w:rFonts w:eastAsiaTheme="minorEastAsia"/>
                <w:sz w:val="21"/>
                <w:szCs w:val="21"/>
                <w:lang w:eastAsia="zh-CN"/>
              </w:rPr>
              <w:t xml:space="preserve">      </w:t>
            </w:r>
            <w:r w:rsidRPr="003A32C4">
              <w:rPr>
                <w:rFonts w:eastAsiaTheme="minorEastAsia" w:hint="eastAsia"/>
                <w:sz w:val="21"/>
                <w:szCs w:val="21"/>
                <w:lang w:eastAsia="zh-CN"/>
              </w:rPr>
              <w:t>日</w:t>
            </w:r>
          </w:p>
          <w:p w:rsidR="009C78AB" w:rsidRPr="003A32C4" w:rsidRDefault="009C78AB" w:rsidP="009C78AB">
            <w:pPr>
              <w:snapToGrid w:val="0"/>
              <w:spacing w:after="0"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bookmarkEnd w:id="0"/>
    </w:tbl>
    <w:p w:rsidR="003E2BAB" w:rsidRPr="003A32C4" w:rsidRDefault="003E2BAB" w:rsidP="009F4BB2">
      <w:pPr>
        <w:spacing w:after="0" w:line="360" w:lineRule="exact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3A32C4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13D" w:rsidRDefault="00BA113D" w:rsidP="00896971">
      <w:pPr>
        <w:spacing w:after="0"/>
      </w:pPr>
      <w:r>
        <w:separator/>
      </w:r>
    </w:p>
  </w:endnote>
  <w:endnote w:type="continuationSeparator" w:id="0">
    <w:p w:rsidR="00BA113D" w:rsidRDefault="00BA113D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13D" w:rsidRDefault="00BA113D" w:rsidP="00896971">
      <w:pPr>
        <w:spacing w:after="0"/>
      </w:pPr>
      <w:r>
        <w:separator/>
      </w:r>
    </w:p>
  </w:footnote>
  <w:footnote w:type="continuationSeparator" w:id="0">
    <w:p w:rsidR="00BA113D" w:rsidRDefault="00BA113D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347E5"/>
    <w:rsid w:val="00061F27"/>
    <w:rsid w:val="0006698D"/>
    <w:rsid w:val="00075E77"/>
    <w:rsid w:val="0007706A"/>
    <w:rsid w:val="00087B74"/>
    <w:rsid w:val="000B42A1"/>
    <w:rsid w:val="000B626E"/>
    <w:rsid w:val="000C2D4A"/>
    <w:rsid w:val="000C7638"/>
    <w:rsid w:val="000E0AE8"/>
    <w:rsid w:val="00113022"/>
    <w:rsid w:val="00155E5A"/>
    <w:rsid w:val="00171228"/>
    <w:rsid w:val="001814A6"/>
    <w:rsid w:val="00184F85"/>
    <w:rsid w:val="00185D5A"/>
    <w:rsid w:val="0019305C"/>
    <w:rsid w:val="001A7347"/>
    <w:rsid w:val="001B2F66"/>
    <w:rsid w:val="001B31E9"/>
    <w:rsid w:val="001B3AE5"/>
    <w:rsid w:val="001D28E8"/>
    <w:rsid w:val="001E0197"/>
    <w:rsid w:val="001F20BC"/>
    <w:rsid w:val="001F3ABD"/>
    <w:rsid w:val="002111AE"/>
    <w:rsid w:val="00227119"/>
    <w:rsid w:val="002843B6"/>
    <w:rsid w:val="00291611"/>
    <w:rsid w:val="00295970"/>
    <w:rsid w:val="002A251B"/>
    <w:rsid w:val="002C0D8F"/>
    <w:rsid w:val="002E27E1"/>
    <w:rsid w:val="002E78FB"/>
    <w:rsid w:val="003044FA"/>
    <w:rsid w:val="00350DB3"/>
    <w:rsid w:val="00352903"/>
    <w:rsid w:val="003630EC"/>
    <w:rsid w:val="0037561C"/>
    <w:rsid w:val="00387B09"/>
    <w:rsid w:val="003A32C4"/>
    <w:rsid w:val="003A46CA"/>
    <w:rsid w:val="003C66D8"/>
    <w:rsid w:val="003D0B86"/>
    <w:rsid w:val="003E2BAB"/>
    <w:rsid w:val="003E66A6"/>
    <w:rsid w:val="00414FC8"/>
    <w:rsid w:val="00417367"/>
    <w:rsid w:val="00434C28"/>
    <w:rsid w:val="00457E42"/>
    <w:rsid w:val="00460810"/>
    <w:rsid w:val="004705E0"/>
    <w:rsid w:val="0047105D"/>
    <w:rsid w:val="004B3994"/>
    <w:rsid w:val="004D29DE"/>
    <w:rsid w:val="004D3655"/>
    <w:rsid w:val="004E0481"/>
    <w:rsid w:val="004E7804"/>
    <w:rsid w:val="004E7E9D"/>
    <w:rsid w:val="005639AB"/>
    <w:rsid w:val="0056785C"/>
    <w:rsid w:val="005805E8"/>
    <w:rsid w:val="005911D3"/>
    <w:rsid w:val="005D0D71"/>
    <w:rsid w:val="005D212A"/>
    <w:rsid w:val="005E45FD"/>
    <w:rsid w:val="005F174F"/>
    <w:rsid w:val="005F416D"/>
    <w:rsid w:val="005F57AB"/>
    <w:rsid w:val="00624C80"/>
    <w:rsid w:val="00631FA7"/>
    <w:rsid w:val="0063410F"/>
    <w:rsid w:val="0065651C"/>
    <w:rsid w:val="006C7E2B"/>
    <w:rsid w:val="00705A1C"/>
    <w:rsid w:val="00735FDE"/>
    <w:rsid w:val="00742FE2"/>
    <w:rsid w:val="00750EC3"/>
    <w:rsid w:val="007522AC"/>
    <w:rsid w:val="00764E98"/>
    <w:rsid w:val="00770F0D"/>
    <w:rsid w:val="0077113F"/>
    <w:rsid w:val="00776AF2"/>
    <w:rsid w:val="00785779"/>
    <w:rsid w:val="007866DE"/>
    <w:rsid w:val="007917C8"/>
    <w:rsid w:val="0079221F"/>
    <w:rsid w:val="007A154B"/>
    <w:rsid w:val="007A4789"/>
    <w:rsid w:val="007D47A6"/>
    <w:rsid w:val="008147FF"/>
    <w:rsid w:val="00815F78"/>
    <w:rsid w:val="008512DF"/>
    <w:rsid w:val="00855020"/>
    <w:rsid w:val="0086149F"/>
    <w:rsid w:val="00870778"/>
    <w:rsid w:val="00872BBF"/>
    <w:rsid w:val="00873482"/>
    <w:rsid w:val="00884D61"/>
    <w:rsid w:val="00885EED"/>
    <w:rsid w:val="00892ADC"/>
    <w:rsid w:val="00896971"/>
    <w:rsid w:val="008B4200"/>
    <w:rsid w:val="008C282F"/>
    <w:rsid w:val="008E6048"/>
    <w:rsid w:val="008F6642"/>
    <w:rsid w:val="009039A7"/>
    <w:rsid w:val="0090401E"/>
    <w:rsid w:val="00907E3A"/>
    <w:rsid w:val="00917C66"/>
    <w:rsid w:val="00930C61"/>
    <w:rsid w:val="009349EE"/>
    <w:rsid w:val="00953595"/>
    <w:rsid w:val="00957348"/>
    <w:rsid w:val="00957F69"/>
    <w:rsid w:val="00967113"/>
    <w:rsid w:val="0097295A"/>
    <w:rsid w:val="009A114D"/>
    <w:rsid w:val="009A2B5C"/>
    <w:rsid w:val="009B3EAE"/>
    <w:rsid w:val="009C3354"/>
    <w:rsid w:val="009C78AB"/>
    <w:rsid w:val="009D3079"/>
    <w:rsid w:val="009F3C75"/>
    <w:rsid w:val="009F4BB2"/>
    <w:rsid w:val="009F7907"/>
    <w:rsid w:val="00A27250"/>
    <w:rsid w:val="00A400E9"/>
    <w:rsid w:val="00A41C45"/>
    <w:rsid w:val="00A66126"/>
    <w:rsid w:val="00A84D68"/>
    <w:rsid w:val="00A85774"/>
    <w:rsid w:val="00A85EE6"/>
    <w:rsid w:val="00AA199F"/>
    <w:rsid w:val="00AA5456"/>
    <w:rsid w:val="00AB00C2"/>
    <w:rsid w:val="00AE48DD"/>
    <w:rsid w:val="00AF342D"/>
    <w:rsid w:val="00B05FEC"/>
    <w:rsid w:val="00B82E41"/>
    <w:rsid w:val="00B83A48"/>
    <w:rsid w:val="00BA113D"/>
    <w:rsid w:val="00BB35F5"/>
    <w:rsid w:val="00BD4C75"/>
    <w:rsid w:val="00BD5259"/>
    <w:rsid w:val="00BF5386"/>
    <w:rsid w:val="00C06D81"/>
    <w:rsid w:val="00C14F31"/>
    <w:rsid w:val="00C23978"/>
    <w:rsid w:val="00C41D05"/>
    <w:rsid w:val="00C479CB"/>
    <w:rsid w:val="00C5619B"/>
    <w:rsid w:val="00C67EDF"/>
    <w:rsid w:val="00C705DD"/>
    <w:rsid w:val="00C727C8"/>
    <w:rsid w:val="00C76FA2"/>
    <w:rsid w:val="00CA1AB8"/>
    <w:rsid w:val="00CA4316"/>
    <w:rsid w:val="00CC4A46"/>
    <w:rsid w:val="00CC4B7A"/>
    <w:rsid w:val="00CD2F8F"/>
    <w:rsid w:val="00D268B2"/>
    <w:rsid w:val="00D30861"/>
    <w:rsid w:val="00D45246"/>
    <w:rsid w:val="00D62B41"/>
    <w:rsid w:val="00D8316C"/>
    <w:rsid w:val="00D84814"/>
    <w:rsid w:val="00D91FA1"/>
    <w:rsid w:val="00DB45CF"/>
    <w:rsid w:val="00DB5724"/>
    <w:rsid w:val="00DB755F"/>
    <w:rsid w:val="00DC0247"/>
    <w:rsid w:val="00DF5C03"/>
    <w:rsid w:val="00E0505F"/>
    <w:rsid w:val="00E11D80"/>
    <w:rsid w:val="00E413E8"/>
    <w:rsid w:val="00E45917"/>
    <w:rsid w:val="00E471CE"/>
    <w:rsid w:val="00E5046D"/>
    <w:rsid w:val="00E53E23"/>
    <w:rsid w:val="00E67699"/>
    <w:rsid w:val="00EC2295"/>
    <w:rsid w:val="00ED3FCA"/>
    <w:rsid w:val="00EE556D"/>
    <w:rsid w:val="00EE63EE"/>
    <w:rsid w:val="00EF5D79"/>
    <w:rsid w:val="00F31667"/>
    <w:rsid w:val="00F3538B"/>
    <w:rsid w:val="00F47949"/>
    <w:rsid w:val="00F617C2"/>
    <w:rsid w:val="00F86AF7"/>
    <w:rsid w:val="00F9027E"/>
    <w:rsid w:val="00F96D96"/>
    <w:rsid w:val="00FA0724"/>
    <w:rsid w:val="00FD401B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E40950-A70E-44A0-B9F7-89B30AAF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8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565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800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509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5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28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205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12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9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7063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5895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001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610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713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426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10168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6130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29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864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927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052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275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87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2459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233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394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41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256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21110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57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49852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071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22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1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24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121309613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632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635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36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29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34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7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708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290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790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6793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7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540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4589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4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2627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2724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21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514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03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59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single" w:sz="6" w:space="15" w:color="DDDDDD"/>
                                    <w:right w:val="single" w:sz="6" w:space="0" w:color="DDDDDD"/>
                                  </w:divBdr>
                                  <w:divsChild>
                                    <w:div w:id="876425974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4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914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554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151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4068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238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01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323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546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8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585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10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7052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47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633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33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66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7275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610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1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4270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05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6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581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603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60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5957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50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718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8701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1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53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5051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1677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175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7571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633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7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2A6EA6-EACE-4EBC-8DB8-90C80190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 Lin</cp:lastModifiedBy>
  <cp:revision>8</cp:revision>
  <cp:lastPrinted>2019-02-27T02:04:00Z</cp:lastPrinted>
  <dcterms:created xsi:type="dcterms:W3CDTF">2019-03-16T08:47:00Z</dcterms:created>
  <dcterms:modified xsi:type="dcterms:W3CDTF">2019-03-18T02:21:00Z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