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exact"/>
        <w:jc w:val="center"/>
        <w:rPr>
          <w:rFonts w:eastAsiaTheme="minorEastAsia"/>
          <w:b/>
          <w:sz w:val="32"/>
          <w:szCs w:val="32"/>
          <w:lang w:eastAsia="zh-CN"/>
        </w:rPr>
      </w:pPr>
      <w:r>
        <w:rPr>
          <w:b/>
          <w:sz w:val="32"/>
          <w:szCs w:val="32"/>
          <w:lang w:eastAsia="zh-CN"/>
        </w:rPr>
        <w:t>《</w:t>
      </w:r>
      <w:r>
        <w:rPr>
          <w:rFonts w:hint="eastAsia" w:eastAsiaTheme="minorEastAsia"/>
          <w:b/>
          <w:sz w:val="32"/>
          <w:szCs w:val="32"/>
          <w:lang w:eastAsia="zh-CN"/>
        </w:rPr>
        <w:t>会计学原理</w:t>
      </w:r>
      <w:r>
        <w:rPr>
          <w:b/>
          <w:sz w:val="32"/>
          <w:szCs w:val="32"/>
          <w:lang w:eastAsia="zh-CN"/>
        </w:rPr>
        <w:t>》教学大纲</w:t>
      </w:r>
    </w:p>
    <w:tbl>
      <w:tblPr>
        <w:tblStyle w:val="5"/>
        <w:tblW w:w="94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345"/>
        <w:gridCol w:w="364"/>
        <w:gridCol w:w="620"/>
        <w:gridCol w:w="1638"/>
        <w:gridCol w:w="1679"/>
        <w:gridCol w:w="700"/>
        <w:gridCol w:w="743"/>
        <w:gridCol w:w="241"/>
        <w:gridCol w:w="133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708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课程名称：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会计学原理</w:t>
            </w:r>
          </w:p>
        </w:tc>
        <w:tc>
          <w:tcPr>
            <w:tcW w:w="4693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课程类别（必修/选修）：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必修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课程英文名称：</w:t>
            </w:r>
            <w:r>
              <w:rPr>
                <w:rFonts w:ascii="宋体" w:hAnsi="宋体"/>
                <w:color w:val="000000"/>
                <w:szCs w:val="24"/>
                <w:shd w:val="clear" w:color="auto" w:fill="FFFFFF"/>
              </w:rPr>
              <w:t>Accounting</w:t>
            </w:r>
            <w:r>
              <w:rPr>
                <w:rFonts w:hint="eastAsia" w:ascii="宋体" w:hAnsi="宋体" w:eastAsiaTheme="minorEastAsia"/>
                <w:color w:val="000000"/>
                <w:szCs w:val="24"/>
                <w:shd w:val="clear" w:color="auto" w:fill="FFFFFF"/>
                <w:lang w:eastAsia="zh-CN"/>
              </w:rPr>
              <w:t xml:space="preserve">   </w:t>
            </w:r>
            <w:r>
              <w:rPr>
                <w:rFonts w:ascii="宋体" w:hAnsi="宋体"/>
                <w:color w:val="000000"/>
                <w:szCs w:val="24"/>
                <w:shd w:val="clear" w:color="auto" w:fill="FFFFFF"/>
              </w:rPr>
              <w:t xml:space="preserve"> Principles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708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总学时/周学时/学分：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48/3/3</w:t>
            </w:r>
          </w:p>
        </w:tc>
        <w:tc>
          <w:tcPr>
            <w:tcW w:w="4693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其中实验/实践学时：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先修课程：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708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授课时间：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4-19周周三5-7节</w:t>
            </w:r>
          </w:p>
        </w:tc>
        <w:tc>
          <w:tcPr>
            <w:tcW w:w="4693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</w:rPr>
              <w:t>授课地点：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莞城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授课对象：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2019电商、金融班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开课学院：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粤台产业学院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任课教师姓名/职称：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彭桂芳/副教授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答疑时间、地点与方式：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周一/周二第8节，莞城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2303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，电话、邮件或微信等方式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bCs/>
                <w:sz w:val="21"/>
                <w:szCs w:val="21"/>
                <w:lang w:eastAsia="zh-CN"/>
              </w:rPr>
              <w:t>课程考核方式：</w:t>
            </w:r>
            <w:r>
              <w:rPr>
                <w:rFonts w:eastAsia="宋体"/>
                <w:sz w:val="21"/>
                <w:szCs w:val="21"/>
                <w:lang w:eastAsia="zh-CN"/>
              </w:rPr>
              <w:t>开卷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（）</w:t>
            </w:r>
            <w:r>
              <w:rPr>
                <w:rFonts w:eastAsia="宋体"/>
                <w:sz w:val="21"/>
                <w:szCs w:val="21"/>
                <w:lang w:eastAsia="zh-CN"/>
              </w:rPr>
              <w:t>闭卷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（</w:t>
            </w:r>
            <m:oMath>
              <m:r>
                <m:rPr>
                  <m:sty m:val="b"/>
                </m:rPr>
                <w:rPr>
                  <w:rFonts w:ascii="Cambria Math" w:hAnsi="Cambria Math" w:eastAsia="宋体"/>
                  <w:sz w:val="21"/>
                  <w:szCs w:val="21"/>
                  <w:lang w:eastAsia="zh-CN"/>
                </w:rPr>
                <m:t>√</m:t>
              </m:r>
            </m:oMath>
            <w:r>
              <w:rPr>
                <w:rFonts w:eastAsia="宋体"/>
                <w:b/>
                <w:sz w:val="21"/>
                <w:szCs w:val="21"/>
                <w:lang w:eastAsia="zh-CN"/>
              </w:rPr>
              <w:t>）</w:t>
            </w:r>
            <w:r>
              <w:rPr>
                <w:rFonts w:eastAsia="宋体"/>
                <w:sz w:val="21"/>
                <w:szCs w:val="21"/>
                <w:lang w:eastAsia="zh-CN"/>
              </w:rPr>
              <w:t>课程论文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（）</w:t>
            </w:r>
            <w:r>
              <w:rPr>
                <w:rFonts w:eastAsia="宋体"/>
                <w:sz w:val="21"/>
                <w:szCs w:val="21"/>
                <w:lang w:eastAsia="zh-CN"/>
              </w:rPr>
              <w:t>其它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bCs/>
                <w:sz w:val="21"/>
                <w:szCs w:val="21"/>
                <w:lang w:eastAsia="zh-CN"/>
              </w:rPr>
              <w:t>使用教材：</w:t>
            </w:r>
            <w:r>
              <w:rPr>
                <w:rFonts w:hint="eastAsia" w:eastAsia="宋体"/>
                <w:b/>
                <w:bCs/>
                <w:sz w:val="21"/>
                <w:szCs w:val="21"/>
                <w:lang w:eastAsia="zh-CN"/>
              </w:rPr>
              <w:t xml:space="preserve">陈国辉  </w:t>
            </w:r>
            <w:r>
              <w:rPr>
                <w:rFonts w:hint="eastAsia" w:asciiTheme="minorEastAsia" w:hAnsiTheme="minorEastAsia" w:eastAsiaTheme="minorEastAsia"/>
                <w:bCs/>
                <w:kern w:val="2"/>
                <w:sz w:val="21"/>
                <w:szCs w:val="21"/>
                <w:lang w:eastAsia="zh-CN"/>
              </w:rPr>
              <w:t>《</w:t>
            </w:r>
            <w:r>
              <w:rPr>
                <w:rFonts w:asciiTheme="minorEastAsia" w:hAnsiTheme="minorEastAsia" w:eastAsiaTheme="minorEastAsia"/>
                <w:bCs/>
                <w:kern w:val="2"/>
                <w:sz w:val="21"/>
                <w:szCs w:val="21"/>
                <w:lang w:eastAsia="zh-CN"/>
              </w:rPr>
              <w:t>基础会计</w:t>
            </w:r>
            <w:r>
              <w:rPr>
                <w:rFonts w:hint="eastAsia" w:asciiTheme="minorEastAsia" w:hAnsiTheme="minorEastAsia" w:eastAsiaTheme="minorEastAsia"/>
                <w:bCs/>
                <w:kern w:val="2"/>
                <w:sz w:val="21"/>
                <w:szCs w:val="21"/>
                <w:lang w:eastAsia="zh-CN"/>
              </w:rPr>
              <w:t>》</w:t>
            </w:r>
            <w:r>
              <w:rPr>
                <w:rFonts w:asciiTheme="minorEastAsia" w:hAnsiTheme="minorEastAsia" w:eastAsiaTheme="minorEastAsia"/>
                <w:bCs/>
                <w:kern w:val="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bCs/>
                <w:kern w:val="2"/>
                <w:sz w:val="21"/>
                <w:szCs w:val="21"/>
                <w:lang w:eastAsia="zh-CN"/>
              </w:rPr>
              <w:t>最新</w:t>
            </w:r>
            <w:r>
              <w:rPr>
                <w:rFonts w:asciiTheme="minorEastAsia" w:hAnsiTheme="minorEastAsia" w:eastAsiaTheme="minorEastAsia"/>
                <w:bCs/>
                <w:kern w:val="2"/>
                <w:sz w:val="21"/>
                <w:szCs w:val="21"/>
                <w:lang w:eastAsia="zh-CN"/>
              </w:rPr>
              <w:t>版）</w:t>
            </w:r>
            <w:r>
              <w:rPr>
                <w:rFonts w:hint="eastAsia" w:asciiTheme="minorEastAsia" w:hAnsiTheme="minorEastAsia" w:eastAsiaTheme="minorEastAsia"/>
                <w:bCs/>
                <w:kern w:val="2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Theme="minorEastAsia" w:hAnsiTheme="minorEastAsia" w:eastAsiaTheme="minorEastAsia"/>
                <w:bCs/>
                <w:kern w:val="2"/>
                <w:sz w:val="21"/>
                <w:szCs w:val="21"/>
                <w:lang w:eastAsia="zh-CN"/>
              </w:rPr>
              <w:t>东北财经大学出版社</w:t>
            </w: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吉林大学出版社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bCs/>
                <w:sz w:val="21"/>
                <w:szCs w:val="21"/>
                <w:lang w:eastAsia="zh-CN"/>
              </w:rPr>
              <w:t>教学参考资料：</w:t>
            </w:r>
          </w:p>
          <w:p>
            <w:pPr>
              <w:tabs>
                <w:tab w:val="left" w:pos="1440"/>
              </w:tabs>
              <w:jc w:val="left"/>
              <w:outlineLvl w:val="0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《企业会计准则》 ,中国财政经济出版社</w:t>
            </w:r>
          </w:p>
          <w:p>
            <w:pPr>
              <w:tabs>
                <w:tab w:val="left" w:pos="1440"/>
              </w:tabs>
              <w:jc w:val="left"/>
              <w:outlineLvl w:val="0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bCs/>
                <w:kern w:val="2"/>
                <w:sz w:val="21"/>
                <w:szCs w:val="21"/>
                <w:lang w:eastAsia="zh-CN"/>
              </w:rPr>
              <w:t>《企业会计准则——应用指南</w:t>
            </w:r>
            <w:r>
              <w:rPr>
                <w:rFonts w:hint="eastAsia" w:asciiTheme="minorEastAsia" w:hAnsiTheme="minorEastAsia" w:eastAsiaTheme="minorEastAsia"/>
                <w:bCs/>
                <w:kern w:val="2"/>
                <w:sz w:val="21"/>
                <w:szCs w:val="21"/>
                <w:lang w:eastAsia="zh-CN"/>
              </w:rPr>
              <w:t>》</w:t>
            </w:r>
            <w:r>
              <w:rPr>
                <w:rFonts w:asciiTheme="minorEastAsia" w:hAnsiTheme="minorEastAsia" w:eastAsiaTheme="minorEastAsia"/>
                <w:bCs/>
                <w:kern w:val="2"/>
                <w:sz w:val="21"/>
                <w:szCs w:val="21"/>
                <w:lang w:eastAsia="zh-CN"/>
              </w:rPr>
              <w:t xml:space="preserve"> ,中国财政经济出版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《会计学原理》</w:t>
            </w:r>
            <w:r>
              <w:rPr>
                <w:rFonts w:asciiTheme="minorEastAsia" w:hAnsiTheme="minorEastAsia" w:eastAsiaTheme="minorEastAsia"/>
                <w:bCs/>
                <w:kern w:val="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bCs/>
                <w:kern w:val="2"/>
                <w:sz w:val="21"/>
                <w:szCs w:val="21"/>
                <w:lang w:eastAsia="zh-CN"/>
              </w:rPr>
              <w:t>最新</w:t>
            </w:r>
            <w:r>
              <w:rPr>
                <w:rFonts w:asciiTheme="minorEastAsia" w:hAnsiTheme="minorEastAsia" w:eastAsiaTheme="minorEastAsia"/>
                <w:bCs/>
                <w:kern w:val="2"/>
                <w:sz w:val="21"/>
                <w:szCs w:val="21"/>
                <w:lang w:eastAsia="zh-CN"/>
              </w:rPr>
              <w:t>版）</w:t>
            </w:r>
            <w:r>
              <w:rPr>
                <w:rFonts w:hint="eastAsia" w:asciiTheme="minorEastAsia" w:hAnsiTheme="minorEastAsia" w:eastAsiaTheme="minorEastAsia"/>
                <w:bCs/>
                <w:kern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吉林大学出版社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课程简介：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《会计学原理》是经济管理类专业的学科基础课（必修课），是教育部规定的财经类、管理类专业的核心课程之一。《会计学原理》在不同程度上构成了许多课程（如《中级财务会计学》、《高级财务会计学》）的理论基础，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它是经济管理课程体系中属于微观经济管理方面的重要学科，是会计学各分支的基础，经济管理类大部分专业方向的同学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，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都要在学习此课程的基础上进一步学习有关的会计课程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。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学生在学习本课程时应明确会计的基本职能和特点，理解会计核算的基本内容和基本任务,了解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它与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其他经济管理之间的联系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；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掌握会计学的基本理论、会计的基本做账技能和基本方法，为其他专业课程的学习打下坚实基础。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6387" w:type="dxa"/>
            <w:gridSpan w:val="6"/>
          </w:tcPr>
          <w:p>
            <w:pPr>
              <w:tabs>
                <w:tab w:val="left" w:pos="1440"/>
              </w:tabs>
              <w:spacing w:after="0" w:line="360" w:lineRule="exact"/>
              <w:ind w:firstLine="422" w:firstLineChars="200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课程教学目标</w:t>
            </w:r>
          </w:p>
          <w:p>
            <w:pPr>
              <w:spacing w:line="300" w:lineRule="exact"/>
              <w:ind w:firstLine="422" w:firstLineChars="200"/>
              <w:rPr>
                <w:rFonts w:asciiTheme="minorEastAsia" w:hAnsiTheme="minorEastAsia"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一、知识目标</w:t>
            </w:r>
          </w:p>
          <w:p>
            <w:pPr>
              <w:spacing w:line="300" w:lineRule="exact"/>
              <w:ind w:firstLine="420" w:firstLineChars="200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1、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了解会计的基本职能、特点、对象、任务，认识做好会计工作对加强企业经济管理、提高经济效益的重要意义；</w:t>
            </w:r>
          </w:p>
          <w:p>
            <w:pPr>
              <w:spacing w:line="300" w:lineRule="exact"/>
              <w:ind w:firstLine="420" w:firstLineChars="200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2、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理解会计要素、科目和账户的相关理论和记账方法及具体应用；</w:t>
            </w:r>
          </w:p>
          <w:p>
            <w:pPr>
              <w:spacing w:line="300" w:lineRule="exact"/>
              <w:ind w:firstLine="420" w:firstLineChars="200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3、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明确会计核算形式的种类和各种会计核算形式的特点和执行程序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。</w:t>
            </w:r>
          </w:p>
          <w:p>
            <w:pPr>
              <w:spacing w:line="300" w:lineRule="exact"/>
              <w:ind w:firstLine="422" w:firstLineChars="200"/>
              <w:rPr>
                <w:rFonts w:asciiTheme="minorEastAsia" w:hAnsiTheme="minorEastAsia"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二、能力目标</w:t>
            </w:r>
          </w:p>
          <w:p>
            <w:pPr>
              <w:spacing w:line="300" w:lineRule="exact"/>
              <w:ind w:firstLine="420" w:firstLineChars="200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1、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掌握会计凭证、账簿的基本内容和实务操作中的要求；</w:t>
            </w:r>
          </w:p>
          <w:p>
            <w:pPr>
              <w:spacing w:line="300" w:lineRule="exact"/>
              <w:ind w:firstLine="420" w:firstLineChars="200"/>
              <w:rPr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2、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能够阅读和编制基本会计报表，并进行与会计报表相关的财务评价指标计算,以及会计管理的基本内容。</w:t>
            </w:r>
          </w:p>
          <w:p>
            <w:pPr>
              <w:spacing w:after="0" w:line="360" w:lineRule="exact"/>
              <w:ind w:firstLine="422" w:firstLineChars="20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三、素质目标</w:t>
            </w:r>
          </w:p>
          <w:p>
            <w:pPr>
              <w:spacing w:after="0" w:line="360" w:lineRule="exact"/>
              <w:ind w:firstLine="420" w:firstLineChars="20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1、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培养诚实守信、爱岗敬业的良好品格；</w:t>
            </w:r>
          </w:p>
          <w:p>
            <w:pPr>
              <w:spacing w:after="0" w:line="360" w:lineRule="exact"/>
              <w:ind w:firstLine="420" w:firstLineChars="20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2、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自觉遵守各项法律制度，恪守会计职业道德，知法、守法、敬法。</w:t>
            </w:r>
          </w:p>
        </w:tc>
        <w:tc>
          <w:tcPr>
            <w:tcW w:w="3014" w:type="dxa"/>
            <w:gridSpan w:val="4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本课程与学生核心能力培养之间的关联(授课对象为理工科专业学生的课程填写此栏）：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□核心能力1. 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□核心能力2. 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□核心能力3.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□核心能力4.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□核心能力5.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□核心能力6. 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□核心能力7．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□核心能力8．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Cs w:val="21"/>
                <w:lang w:eastAsia="zh-CN"/>
              </w:rPr>
              <w:t>理论教学进程表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41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周次</w:t>
            </w:r>
          </w:p>
        </w:tc>
        <w:tc>
          <w:tcPr>
            <w:tcW w:w="1709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教学主题</w:t>
            </w:r>
          </w:p>
        </w:tc>
        <w:tc>
          <w:tcPr>
            <w:tcW w:w="620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教学时长</w:t>
            </w:r>
          </w:p>
        </w:tc>
        <w:tc>
          <w:tcPr>
            <w:tcW w:w="4017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b/>
                <w:sz w:val="21"/>
                <w:szCs w:val="21"/>
                <w:lang w:eastAsia="zh-CN"/>
              </w:rPr>
              <w:t>教学的重点、难点、</w:t>
            </w: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1"/>
                <w:szCs w:val="21"/>
                <w:lang w:eastAsia="zh-CN"/>
              </w:rPr>
              <w:t>课程思政融入点</w:t>
            </w:r>
          </w:p>
        </w:tc>
        <w:tc>
          <w:tcPr>
            <w:tcW w:w="984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教学方式</w:t>
            </w:r>
          </w:p>
        </w:tc>
        <w:tc>
          <w:tcPr>
            <w:tcW w:w="1330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作业安排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1" w:type="dxa"/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4-5</w:t>
            </w:r>
          </w:p>
        </w:tc>
        <w:tc>
          <w:tcPr>
            <w:tcW w:w="1709" w:type="dxa"/>
            <w:gridSpan w:val="2"/>
            <w:vAlign w:val="center"/>
          </w:tcPr>
          <w:p>
            <w:pPr>
              <w:spacing w:after="0" w:line="0" w:lineRule="atLeas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总论</w:t>
            </w:r>
          </w:p>
        </w:tc>
        <w:tc>
          <w:tcPr>
            <w:tcW w:w="620" w:type="dxa"/>
            <w:vAlign w:val="center"/>
          </w:tcPr>
          <w:p>
            <w:pPr>
              <w:spacing w:after="0" w:line="0" w:lineRule="atLeas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017" w:type="dxa"/>
            <w:gridSpan w:val="3"/>
            <w:vAlign w:val="center"/>
          </w:tcPr>
          <w:p>
            <w:pPr>
              <w:spacing w:after="0" w:line="0" w:lineRule="atLeas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重点：会计要素、会计核算的基本前提、会计核算的一般原则、会计核算方法；</w:t>
            </w:r>
          </w:p>
          <w:p>
            <w:pPr>
              <w:spacing w:after="0" w:line="0" w:lineRule="atLeas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难点：会计要素的理解</w:t>
            </w:r>
          </w:p>
          <w:p>
            <w:pPr>
              <w:spacing w:after="0" w:line="0" w:lineRule="atLeas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课程思政融入点：介绍会计基本法律法规、会计职业道德和会计准则，培养学生诚实守信的精神。</w:t>
            </w:r>
          </w:p>
        </w:tc>
        <w:tc>
          <w:tcPr>
            <w:tcW w:w="984" w:type="dxa"/>
            <w:gridSpan w:val="2"/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330" w:type="dxa"/>
            <w:vAlign w:val="center"/>
          </w:tcPr>
          <w:p>
            <w:pPr>
              <w:spacing w:after="0" w:line="0" w:lineRule="atLeast"/>
              <w:rPr>
                <w:rFonts w:eastAsiaTheme="minorEastAsia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hint="eastAsia" w:eastAsiaTheme="minorEastAsia"/>
                <w:color w:val="000000" w:themeColor="text1"/>
                <w:sz w:val="18"/>
                <w:szCs w:val="18"/>
                <w:lang w:eastAsia="zh-CN"/>
              </w:rPr>
              <w:t>习题、</w:t>
            </w:r>
          </w:p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color w:val="000000" w:themeColor="text1"/>
                <w:sz w:val="18"/>
                <w:szCs w:val="18"/>
                <w:lang w:eastAsia="zh-CN"/>
              </w:rPr>
              <w:t>课程思政作业：要求学生每人至少阅读两篇与</w:t>
            </w:r>
            <w:r>
              <w:rPr>
                <w:rFonts w:hint="eastAsia" w:eastAsiaTheme="minorEastAsia"/>
                <w:color w:val="000000" w:themeColor="text1"/>
                <w:sz w:val="18"/>
                <w:szCs w:val="18"/>
                <w:lang w:eastAsia="zh-CN"/>
              </w:rPr>
              <w:t>会计职业道德</w:t>
            </w:r>
            <w:r>
              <w:rPr>
                <w:rFonts w:eastAsiaTheme="minorEastAsia"/>
                <w:color w:val="000000" w:themeColor="text1"/>
                <w:sz w:val="18"/>
                <w:szCs w:val="18"/>
                <w:lang w:eastAsia="zh-CN"/>
              </w:rPr>
              <w:t>有关的文章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1" w:type="dxa"/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709" w:type="dxa"/>
            <w:gridSpan w:val="2"/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会计科目与会计账户、会计等式</w:t>
            </w:r>
          </w:p>
        </w:tc>
        <w:tc>
          <w:tcPr>
            <w:tcW w:w="620" w:type="dxa"/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017" w:type="dxa"/>
            <w:gridSpan w:val="3"/>
            <w:vAlign w:val="center"/>
          </w:tcPr>
          <w:p>
            <w:pPr>
              <w:spacing w:after="0" w:line="0" w:lineRule="atLeas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重点：会计科目的分类，会计账户的性质及应用、会计恒等式及扩展等式</w:t>
            </w:r>
          </w:p>
          <w:p>
            <w:pPr>
              <w:spacing w:after="0" w:line="0" w:lineRule="atLeast"/>
              <w:rPr>
                <w:rFonts w:ascii="宋体" w:hAnsi="宋体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难点：会计等式的理解</w:t>
            </w:r>
          </w:p>
        </w:tc>
        <w:tc>
          <w:tcPr>
            <w:tcW w:w="984" w:type="dxa"/>
            <w:gridSpan w:val="2"/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330" w:type="dxa"/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习题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1" w:type="dxa"/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7-8</w:t>
            </w:r>
          </w:p>
        </w:tc>
        <w:tc>
          <w:tcPr>
            <w:tcW w:w="1709" w:type="dxa"/>
            <w:gridSpan w:val="2"/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借贷记账法</w:t>
            </w:r>
          </w:p>
        </w:tc>
        <w:tc>
          <w:tcPr>
            <w:tcW w:w="620" w:type="dxa"/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017" w:type="dxa"/>
            <w:gridSpan w:val="3"/>
            <w:vAlign w:val="center"/>
          </w:tcPr>
          <w:p>
            <w:pPr>
              <w:spacing w:after="0" w:line="0" w:lineRule="atLeas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重点：借贷记账法的账户结构、会计分录</w:t>
            </w:r>
          </w:p>
          <w:p>
            <w:pPr>
              <w:spacing w:after="0" w:line="0" w:lineRule="atLeas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难点：借贷记账法的记账规则</w:t>
            </w:r>
          </w:p>
        </w:tc>
        <w:tc>
          <w:tcPr>
            <w:tcW w:w="984" w:type="dxa"/>
            <w:gridSpan w:val="2"/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课堂讲授+小组讨论+实训</w:t>
            </w:r>
          </w:p>
        </w:tc>
        <w:tc>
          <w:tcPr>
            <w:tcW w:w="1330" w:type="dxa"/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习题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1" w:type="dxa"/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9-14</w:t>
            </w:r>
          </w:p>
        </w:tc>
        <w:tc>
          <w:tcPr>
            <w:tcW w:w="1709" w:type="dxa"/>
            <w:gridSpan w:val="2"/>
            <w:vAlign w:val="center"/>
          </w:tcPr>
          <w:p>
            <w:pPr>
              <w:spacing w:after="0" w:line="0" w:lineRule="atLeas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制造企业主要经济业务的核算</w:t>
            </w:r>
          </w:p>
        </w:tc>
        <w:tc>
          <w:tcPr>
            <w:tcW w:w="620" w:type="dxa"/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4017" w:type="dxa"/>
            <w:gridSpan w:val="3"/>
            <w:vAlign w:val="center"/>
          </w:tcPr>
          <w:p>
            <w:pPr>
              <w:spacing w:after="0" w:line="0" w:lineRule="atLeas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重点：制造业企业常见的经济业务会计分录的编制</w:t>
            </w:r>
          </w:p>
          <w:p>
            <w:pPr>
              <w:spacing w:after="0" w:line="0" w:lineRule="atLeas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难点：生产过程、利润分配过程经济业务的核算</w:t>
            </w:r>
          </w:p>
        </w:tc>
        <w:tc>
          <w:tcPr>
            <w:tcW w:w="984" w:type="dxa"/>
            <w:gridSpan w:val="2"/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课堂讲授+小组讨论+实训</w:t>
            </w:r>
          </w:p>
        </w:tc>
        <w:tc>
          <w:tcPr>
            <w:tcW w:w="1330" w:type="dxa"/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习题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1" w:type="dxa"/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1709" w:type="dxa"/>
            <w:gridSpan w:val="2"/>
            <w:vAlign w:val="center"/>
          </w:tcPr>
          <w:p>
            <w:pPr>
              <w:spacing w:after="0" w:line="0" w:lineRule="atLeas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期中考核</w:t>
            </w:r>
          </w:p>
        </w:tc>
        <w:tc>
          <w:tcPr>
            <w:tcW w:w="620" w:type="dxa"/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17" w:type="dxa"/>
            <w:gridSpan w:val="3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期中复习，期中测验</w:t>
            </w:r>
          </w:p>
        </w:tc>
        <w:tc>
          <w:tcPr>
            <w:tcW w:w="984" w:type="dxa"/>
            <w:gridSpan w:val="2"/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测验</w:t>
            </w:r>
          </w:p>
        </w:tc>
        <w:tc>
          <w:tcPr>
            <w:tcW w:w="1330" w:type="dxa"/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1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17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资产计价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、成本核算</w:t>
            </w:r>
          </w:p>
        </w:tc>
        <w:tc>
          <w:tcPr>
            <w:tcW w:w="620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01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重点：存货、固定资产、应收款项的初始计量、减值准备，各项资产的减值；产品采购、生产、销售成本的核算</w:t>
            </w:r>
          </w:p>
          <w:p>
            <w:pPr>
              <w:spacing w:after="0" w:line="0" w:lineRule="atLeas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难点：存货、固定资产、应收款项常用计价方法的理解及应用</w:t>
            </w:r>
          </w:p>
        </w:tc>
        <w:tc>
          <w:tcPr>
            <w:tcW w:w="98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课堂讲授+小组讨论</w:t>
            </w:r>
          </w:p>
        </w:tc>
        <w:tc>
          <w:tcPr>
            <w:tcW w:w="1330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习题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会计核算组织程序、财产清查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重点：账务处理的基本程序，记账凭证、汇总记账凭证、科目汇总表的核算组织程序；货币资金、存货、固定资产、债权等资产的清查及账务处理</w:t>
            </w:r>
          </w:p>
          <w:p>
            <w:pPr>
              <w:spacing w:after="0" w:line="0" w:lineRule="atLeas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难点：各种账务处理程序的理解及应用，清查结果的账务处理</w:t>
            </w:r>
          </w:p>
          <w:p>
            <w:pPr>
              <w:spacing w:after="0" w:line="0" w:lineRule="atLeas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课程思政融入点：财产清查是保证账实相符的会计核算方法，对于清查结果要按照正确的方法来进行账务处理，以保证会计资料真实可靠。</w:t>
            </w: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课堂讲授+小组讨论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color w:val="000000" w:themeColor="text1"/>
                <w:sz w:val="18"/>
                <w:szCs w:val="18"/>
                <w:lang w:eastAsia="zh-CN"/>
              </w:rPr>
              <w:t>课程思政作业</w:t>
            </w:r>
            <w:r>
              <w:rPr>
                <w:rFonts w:hint="eastAsia" w:eastAsiaTheme="minorEastAsia"/>
                <w:color w:val="000000" w:themeColor="text1"/>
                <w:sz w:val="18"/>
                <w:szCs w:val="18"/>
                <w:lang w:eastAsia="zh-CN"/>
              </w:rPr>
              <w:t>：每人找一个财产清查的案例进行分析并谈谈财产清查的意义。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17-19</w:t>
            </w: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财务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会计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报告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4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0" w:lineRule="atLeas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重点：资产负债表、利润表的编制</w:t>
            </w:r>
          </w:p>
          <w:p>
            <w:pPr>
              <w:spacing w:after="0" w:line="0" w:lineRule="atLeas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难点：几种报表编制方法的理解及运用</w:t>
            </w:r>
          </w:p>
          <w:p>
            <w:pPr>
              <w:spacing w:after="0" w:line="0" w:lineRule="atLeas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课程思政融入点：编制会计报表要客观真实可靠，不伪造，不偏颇，不人为操控利润，为报表使用者服务。</w:t>
            </w: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课堂讲授+小组讨论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color w:val="000000" w:themeColor="text1"/>
                <w:sz w:val="18"/>
                <w:szCs w:val="18"/>
                <w:lang w:eastAsia="zh-CN"/>
              </w:rPr>
              <w:t>课程思政作业</w:t>
            </w:r>
            <w:r>
              <w:rPr>
                <w:rFonts w:hint="eastAsia" w:eastAsiaTheme="minorEastAsia"/>
                <w:color w:val="000000" w:themeColor="text1"/>
                <w:sz w:val="18"/>
                <w:szCs w:val="18"/>
                <w:lang w:eastAsia="zh-CN"/>
              </w:rPr>
              <w:t>：根据会计报表舞弊的案例分析会计报表造假的目的及严重危害。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19</w:t>
            </w: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复习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课程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总结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，课程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答疑</w:t>
            </w: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5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after="0" w:line="36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合计：</w:t>
            </w:r>
          </w:p>
        </w:tc>
        <w:tc>
          <w:tcPr>
            <w:tcW w:w="620" w:type="dxa"/>
            <w:tcBorders>
              <w:top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48</w:t>
            </w:r>
          </w:p>
        </w:tc>
        <w:tc>
          <w:tcPr>
            <w:tcW w:w="4017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330" w:type="dxa"/>
            <w:tcBorders>
              <w:top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宋体"/>
                <w:b/>
                <w:szCs w:val="21"/>
                <w:lang w:eastAsia="zh-CN"/>
              </w:rPr>
            </w:pPr>
            <w:r>
              <w:rPr>
                <w:rFonts w:eastAsia="宋体"/>
                <w:b/>
                <w:szCs w:val="21"/>
                <w:lang w:eastAsia="zh-CN"/>
              </w:rPr>
              <w:t>成绩评定方法及标准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86" w:type="dxa"/>
            <w:gridSpan w:val="2"/>
            <w:vAlign w:val="center"/>
          </w:tcPr>
          <w:p>
            <w:pPr>
              <w:snapToGrid w:val="0"/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</w:rPr>
              <w:t>考核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形式</w:t>
            </w:r>
          </w:p>
        </w:tc>
        <w:tc>
          <w:tcPr>
            <w:tcW w:w="5744" w:type="dxa"/>
            <w:gridSpan w:val="6"/>
            <w:vAlign w:val="center"/>
          </w:tcPr>
          <w:p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评价标准</w:t>
            </w:r>
          </w:p>
        </w:tc>
        <w:tc>
          <w:tcPr>
            <w:tcW w:w="1571" w:type="dxa"/>
            <w:gridSpan w:val="2"/>
            <w:vAlign w:val="center"/>
          </w:tcPr>
          <w:p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86" w:type="dxa"/>
            <w:gridSpan w:val="2"/>
            <w:vAlign w:val="center"/>
          </w:tcPr>
          <w:p>
            <w:pPr>
              <w:snapToGrid w:val="0"/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平时考勤、课后作业（百分制）</w:t>
            </w:r>
          </w:p>
        </w:tc>
        <w:tc>
          <w:tcPr>
            <w:tcW w:w="5744" w:type="dxa"/>
            <w:gridSpan w:val="6"/>
            <w:vAlign w:val="center"/>
          </w:tcPr>
          <w:p>
            <w:pPr>
              <w:snapToGrid w:val="0"/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按时上课，不迟到、早退（占平时成绩中的40分）不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抄袭，独立完成，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书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写工整，答题正确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（占平时成绩中的50分）</w:t>
            </w:r>
          </w:p>
        </w:tc>
        <w:tc>
          <w:tcPr>
            <w:tcW w:w="1571" w:type="dxa"/>
            <w:gridSpan w:val="2"/>
            <w:vAlign w:val="center"/>
          </w:tcPr>
          <w:p>
            <w:pPr>
              <w:snapToGrid w:val="0"/>
              <w:spacing w:after="0" w:line="0" w:lineRule="atLeast"/>
              <w:ind w:left="18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86" w:type="dxa"/>
            <w:gridSpan w:val="2"/>
            <w:vAlign w:val="center"/>
          </w:tcPr>
          <w:p>
            <w:pPr>
              <w:snapToGrid w:val="0"/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期中测验（百分制）</w:t>
            </w:r>
          </w:p>
        </w:tc>
        <w:tc>
          <w:tcPr>
            <w:tcW w:w="5744" w:type="dxa"/>
            <w:gridSpan w:val="6"/>
            <w:vAlign w:val="center"/>
          </w:tcPr>
          <w:p>
            <w:pPr>
              <w:snapToGrid w:val="0"/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按照完成情况（占平时成绩中的10分）</w:t>
            </w:r>
          </w:p>
        </w:tc>
        <w:tc>
          <w:tcPr>
            <w:tcW w:w="1571" w:type="dxa"/>
            <w:gridSpan w:val="2"/>
            <w:vAlign w:val="center"/>
          </w:tcPr>
          <w:p>
            <w:pPr>
              <w:snapToGrid w:val="0"/>
              <w:spacing w:after="0" w:line="0" w:lineRule="atLeast"/>
              <w:ind w:left="18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86" w:type="dxa"/>
            <w:gridSpan w:val="2"/>
            <w:vAlign w:val="center"/>
          </w:tcPr>
          <w:p>
            <w:pPr>
              <w:snapToGrid w:val="0"/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期末考试（百分制）</w:t>
            </w:r>
          </w:p>
        </w:tc>
        <w:tc>
          <w:tcPr>
            <w:tcW w:w="5744" w:type="dxa"/>
            <w:gridSpan w:val="6"/>
            <w:vAlign w:val="center"/>
          </w:tcPr>
          <w:p>
            <w:pPr>
              <w:snapToGrid w:val="0"/>
              <w:spacing w:after="0" w:line="0" w:lineRule="atLeas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书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写工整，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答题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正确</w:t>
            </w:r>
          </w:p>
        </w:tc>
        <w:tc>
          <w:tcPr>
            <w:tcW w:w="1571" w:type="dxa"/>
            <w:gridSpan w:val="2"/>
            <w:vAlign w:val="center"/>
          </w:tcPr>
          <w:p>
            <w:pPr>
              <w:snapToGrid w:val="0"/>
              <w:spacing w:after="0" w:line="0" w:lineRule="atLeast"/>
              <w:ind w:left="18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snapToGrid w:val="0"/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注：总评成绩=平时成绩*30%++期中测验*10%+期末考试*60%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snapToGrid w:val="0"/>
              <w:spacing w:after="0" w:line="360" w:lineRule="exact"/>
              <w:ind w:left="18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大纲编写时间：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2019年9月6日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1" w:hRule="atLeast"/>
          <w:jc w:val="center"/>
        </w:trPr>
        <w:tc>
          <w:tcPr>
            <w:tcW w:w="9401" w:type="dxa"/>
            <w:gridSpan w:val="10"/>
          </w:tcPr>
          <w:p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="宋体"/>
                <w:b/>
                <w:szCs w:val="21"/>
                <w:lang w:eastAsia="zh-CN"/>
              </w:rPr>
            </w:pPr>
            <w:r>
              <w:rPr>
                <w:rFonts w:eastAsia="宋体"/>
                <w:b/>
                <w:szCs w:val="21"/>
                <w:lang w:eastAsia="zh-CN"/>
              </w:rPr>
              <w:t>系（部）审查意见：</w:t>
            </w:r>
          </w:p>
          <w:p>
            <w:pPr>
              <w:spacing w:after="0" w:line="360" w:lineRule="exact"/>
              <w:ind w:firstLine="57" w:firstLineChars="27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bookmarkStart w:id="0" w:name="_GoBack"/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1278255</wp:posOffset>
                  </wp:positionH>
                  <wp:positionV relativeFrom="paragraph">
                    <wp:posOffset>158750</wp:posOffset>
                  </wp:positionV>
                  <wp:extent cx="1654175" cy="807085"/>
                  <wp:effectExtent l="0" t="0" r="3175" b="12065"/>
                  <wp:wrapSquare wrapText="bothSides"/>
                  <wp:docPr id="1" name="图片 1" descr="谢松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谢松霖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4175" cy="807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</w:p>
          <w:p>
            <w:pPr>
              <w:spacing w:after="0" w:line="360" w:lineRule="exact"/>
              <w:ind w:right="420"/>
              <w:rPr>
                <w:rFonts w:eastAsia="宋体"/>
                <w:sz w:val="21"/>
                <w:szCs w:val="21"/>
                <w:lang w:eastAsia="zh-CN"/>
              </w:rPr>
            </w:pPr>
          </w:p>
          <w:p>
            <w:pPr>
              <w:wordWrap w:val="0"/>
              <w:spacing w:after="0" w:line="360" w:lineRule="exact"/>
              <w:ind w:right="420"/>
              <w:jc w:val="righ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系（部）主任签名：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            </w:t>
            </w:r>
            <w:r>
              <w:rPr>
                <w:rFonts w:eastAsia="宋体"/>
                <w:sz w:val="21"/>
                <w:szCs w:val="21"/>
                <w:lang w:eastAsia="zh-CN"/>
              </w:rPr>
              <w:t>日期：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eastAsia="宋体"/>
                <w:sz w:val="21"/>
                <w:szCs w:val="21"/>
                <w:lang w:eastAsia="zh-CN"/>
              </w:rPr>
              <w:t>年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eastAsia="宋体"/>
                <w:sz w:val="21"/>
                <w:szCs w:val="21"/>
                <w:lang w:eastAsia="zh-CN"/>
              </w:rPr>
              <w:t>月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eastAsia="宋体"/>
                <w:sz w:val="21"/>
                <w:szCs w:val="21"/>
                <w:lang w:eastAsia="zh-CN"/>
              </w:rPr>
              <w:t>日</w:t>
            </w:r>
          </w:p>
          <w:p>
            <w:pPr>
              <w:snapToGrid w:val="0"/>
              <w:spacing w:after="0" w:line="360" w:lineRule="exact"/>
              <w:ind w:left="180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</w:tbl>
    <w:p>
      <w:pPr>
        <w:spacing w:after="0" w:line="360" w:lineRule="exact"/>
        <w:rPr>
          <w:rFonts w:eastAsiaTheme="minorEastAsia"/>
          <w:b/>
          <w:bCs/>
          <w:sz w:val="21"/>
          <w:szCs w:val="21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DFKai-SB">
    <w:altName w:val="Microsoft JhengHei Light"/>
    <w:panose1 w:val="03000509000000000000"/>
    <w:charset w:val="88"/>
    <w:family w:val="script"/>
    <w:pitch w:val="default"/>
    <w:sig w:usb0="00000000" w:usb1="00000000" w:usb2="00000016" w:usb3="00000000" w:csb0="00100001" w:csb1="00000000"/>
  </w:font>
  <w:font w:name="CIDFont + F2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2C23799B"/>
    <w:rsid w:val="000041EE"/>
    <w:rsid w:val="00031499"/>
    <w:rsid w:val="00041405"/>
    <w:rsid w:val="00061F27"/>
    <w:rsid w:val="0006698D"/>
    <w:rsid w:val="00071517"/>
    <w:rsid w:val="00087B74"/>
    <w:rsid w:val="000A200B"/>
    <w:rsid w:val="000A6952"/>
    <w:rsid w:val="000B626E"/>
    <w:rsid w:val="000C2D4A"/>
    <w:rsid w:val="000E0AE8"/>
    <w:rsid w:val="00113022"/>
    <w:rsid w:val="00155E5A"/>
    <w:rsid w:val="00171228"/>
    <w:rsid w:val="001B2F66"/>
    <w:rsid w:val="001B31E9"/>
    <w:rsid w:val="001C65C9"/>
    <w:rsid w:val="001D28E8"/>
    <w:rsid w:val="001E0D54"/>
    <w:rsid w:val="001F20BC"/>
    <w:rsid w:val="001F3ABD"/>
    <w:rsid w:val="002111AE"/>
    <w:rsid w:val="0022318D"/>
    <w:rsid w:val="002254E6"/>
    <w:rsid w:val="00227119"/>
    <w:rsid w:val="00243D26"/>
    <w:rsid w:val="00291611"/>
    <w:rsid w:val="00295970"/>
    <w:rsid w:val="002A251B"/>
    <w:rsid w:val="002C0D8F"/>
    <w:rsid w:val="002E27E1"/>
    <w:rsid w:val="003044FA"/>
    <w:rsid w:val="00322A5E"/>
    <w:rsid w:val="0036095B"/>
    <w:rsid w:val="0037561C"/>
    <w:rsid w:val="00380CC7"/>
    <w:rsid w:val="003C66D8"/>
    <w:rsid w:val="003D31AD"/>
    <w:rsid w:val="003D69D0"/>
    <w:rsid w:val="003E2BAB"/>
    <w:rsid w:val="003E66A6"/>
    <w:rsid w:val="00414FC8"/>
    <w:rsid w:val="00457E42"/>
    <w:rsid w:val="004718FD"/>
    <w:rsid w:val="004B3994"/>
    <w:rsid w:val="004D29DE"/>
    <w:rsid w:val="004D41D3"/>
    <w:rsid w:val="004D4D7F"/>
    <w:rsid w:val="004E0481"/>
    <w:rsid w:val="004E278D"/>
    <w:rsid w:val="004E7804"/>
    <w:rsid w:val="00527F10"/>
    <w:rsid w:val="005639AB"/>
    <w:rsid w:val="00575059"/>
    <w:rsid w:val="00577918"/>
    <w:rsid w:val="005805E8"/>
    <w:rsid w:val="005829AE"/>
    <w:rsid w:val="00584217"/>
    <w:rsid w:val="005911D3"/>
    <w:rsid w:val="005F174F"/>
    <w:rsid w:val="005F37B1"/>
    <w:rsid w:val="00631FA7"/>
    <w:rsid w:val="0063410F"/>
    <w:rsid w:val="0065651C"/>
    <w:rsid w:val="0066058B"/>
    <w:rsid w:val="006C408C"/>
    <w:rsid w:val="0070331B"/>
    <w:rsid w:val="00727E84"/>
    <w:rsid w:val="00735FDE"/>
    <w:rsid w:val="00761B69"/>
    <w:rsid w:val="00770F0D"/>
    <w:rsid w:val="00776AF2"/>
    <w:rsid w:val="00785779"/>
    <w:rsid w:val="007A154B"/>
    <w:rsid w:val="007E4319"/>
    <w:rsid w:val="00800D33"/>
    <w:rsid w:val="008147FF"/>
    <w:rsid w:val="00815F78"/>
    <w:rsid w:val="008512DF"/>
    <w:rsid w:val="00855020"/>
    <w:rsid w:val="0086430F"/>
    <w:rsid w:val="00885EED"/>
    <w:rsid w:val="00892ADC"/>
    <w:rsid w:val="00896971"/>
    <w:rsid w:val="008A7332"/>
    <w:rsid w:val="008B4200"/>
    <w:rsid w:val="008F6642"/>
    <w:rsid w:val="009039A7"/>
    <w:rsid w:val="00907E3A"/>
    <w:rsid w:val="009165CE"/>
    <w:rsid w:val="00917C66"/>
    <w:rsid w:val="00930C61"/>
    <w:rsid w:val="009349EE"/>
    <w:rsid w:val="00936F70"/>
    <w:rsid w:val="009622D8"/>
    <w:rsid w:val="009825FE"/>
    <w:rsid w:val="009A2B5C"/>
    <w:rsid w:val="009B3EAE"/>
    <w:rsid w:val="009B455F"/>
    <w:rsid w:val="009C3354"/>
    <w:rsid w:val="009D3079"/>
    <w:rsid w:val="009F31B8"/>
    <w:rsid w:val="009F7907"/>
    <w:rsid w:val="00A06998"/>
    <w:rsid w:val="00A15965"/>
    <w:rsid w:val="00A25ECC"/>
    <w:rsid w:val="00A30BBC"/>
    <w:rsid w:val="00A41C45"/>
    <w:rsid w:val="00A718F9"/>
    <w:rsid w:val="00A84D68"/>
    <w:rsid w:val="00A85774"/>
    <w:rsid w:val="00AA199F"/>
    <w:rsid w:val="00AB00C2"/>
    <w:rsid w:val="00AB43DF"/>
    <w:rsid w:val="00AB5269"/>
    <w:rsid w:val="00AB631D"/>
    <w:rsid w:val="00AC2F83"/>
    <w:rsid w:val="00AE48DD"/>
    <w:rsid w:val="00AF342D"/>
    <w:rsid w:val="00B02542"/>
    <w:rsid w:val="00B05FEC"/>
    <w:rsid w:val="00B06911"/>
    <w:rsid w:val="00B23DFD"/>
    <w:rsid w:val="00B82E41"/>
    <w:rsid w:val="00BB35F5"/>
    <w:rsid w:val="00C01B2C"/>
    <w:rsid w:val="00C06D81"/>
    <w:rsid w:val="00C1760A"/>
    <w:rsid w:val="00C20F26"/>
    <w:rsid w:val="00C34B8F"/>
    <w:rsid w:val="00C41D05"/>
    <w:rsid w:val="00C479CB"/>
    <w:rsid w:val="00C47FEC"/>
    <w:rsid w:val="00C705DD"/>
    <w:rsid w:val="00C71079"/>
    <w:rsid w:val="00C76FA2"/>
    <w:rsid w:val="00CA1AB8"/>
    <w:rsid w:val="00CC4A46"/>
    <w:rsid w:val="00CD10EA"/>
    <w:rsid w:val="00CD270A"/>
    <w:rsid w:val="00CD2F8F"/>
    <w:rsid w:val="00D03074"/>
    <w:rsid w:val="00D268B2"/>
    <w:rsid w:val="00D45246"/>
    <w:rsid w:val="00D62B41"/>
    <w:rsid w:val="00D75F7E"/>
    <w:rsid w:val="00D96CF7"/>
    <w:rsid w:val="00DB43AF"/>
    <w:rsid w:val="00DB45CF"/>
    <w:rsid w:val="00DB4CE8"/>
    <w:rsid w:val="00DB5724"/>
    <w:rsid w:val="00DC0918"/>
    <w:rsid w:val="00DC6725"/>
    <w:rsid w:val="00DF5C03"/>
    <w:rsid w:val="00E0505F"/>
    <w:rsid w:val="00E21004"/>
    <w:rsid w:val="00E37302"/>
    <w:rsid w:val="00E413E8"/>
    <w:rsid w:val="00E42434"/>
    <w:rsid w:val="00E53E23"/>
    <w:rsid w:val="00E96800"/>
    <w:rsid w:val="00EB0385"/>
    <w:rsid w:val="00EC2295"/>
    <w:rsid w:val="00ED3FCA"/>
    <w:rsid w:val="00F03B6B"/>
    <w:rsid w:val="00F31667"/>
    <w:rsid w:val="00F527DD"/>
    <w:rsid w:val="00F605A4"/>
    <w:rsid w:val="00F617C2"/>
    <w:rsid w:val="00F96D96"/>
    <w:rsid w:val="00FA0724"/>
    <w:rsid w:val="00FA5D95"/>
    <w:rsid w:val="00FC21FE"/>
    <w:rsid w:val="00FE22C8"/>
    <w:rsid w:val="121563ED"/>
    <w:rsid w:val="28AD1D92"/>
    <w:rsid w:val="2C23799B"/>
    <w:rsid w:val="62602D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0"/>
      <w:jc w:val="both"/>
    </w:pPr>
    <w:rPr>
      <w:rFonts w:ascii="Times New Roman" w:hAnsi="Times New Roman" w:eastAsia="PMingLiU" w:cs="Times New Roman"/>
      <w:sz w:val="24"/>
      <w:szCs w:val="22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uiPriority w:val="0"/>
    <w:pPr>
      <w:spacing w:after="0"/>
    </w:pPr>
    <w:rPr>
      <w:sz w:val="18"/>
      <w:szCs w:val="18"/>
    </w:rPr>
  </w:style>
  <w:style w:type="paragraph" w:styleId="3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7"/>
    <w:qFormat/>
    <w:uiPriority w:val="20"/>
    <w:rPr>
      <w:i/>
      <w:iCs/>
    </w:rPr>
  </w:style>
  <w:style w:type="character" w:styleId="9">
    <w:name w:val="Hyperlink"/>
    <w:basedOn w:val="7"/>
    <w:uiPriority w:val="0"/>
    <w:rPr>
      <w:color w:val="0563C1" w:themeColor="hyperlink"/>
      <w:u w:val="single"/>
    </w:rPr>
  </w:style>
  <w:style w:type="paragraph" w:customStyle="1" w:styleId="10">
    <w:name w:val="列出段落1"/>
    <w:basedOn w:val="1"/>
    <w:qFormat/>
    <w:uiPriority w:val="34"/>
    <w:pPr>
      <w:widowControl w:val="0"/>
      <w:spacing w:after="0"/>
      <w:ind w:left="480" w:leftChars="200"/>
      <w:jc w:val="left"/>
    </w:pPr>
    <w:rPr>
      <w:rFonts w:ascii="Calibri" w:hAnsi="Calibri" w:eastAsia="DFKai-SB"/>
      <w:kern w:val="2"/>
      <w:lang w:eastAsia="zh-TW"/>
    </w:rPr>
  </w:style>
  <w:style w:type="character" w:customStyle="1" w:styleId="11">
    <w:name w:val="fontstyle01"/>
    <w:basedOn w:val="7"/>
    <w:uiPriority w:val="0"/>
    <w:rPr>
      <w:rFonts w:ascii="CIDFont + F2" w:hAnsi="CIDFont + F2" w:eastAsia="CIDFont + F2" w:cs="CIDFont + F2"/>
      <w:color w:val="000000"/>
      <w:sz w:val="20"/>
      <w:szCs w:val="20"/>
    </w:rPr>
  </w:style>
  <w:style w:type="character" w:customStyle="1" w:styleId="12">
    <w:name w:val="页眉 Char"/>
    <w:basedOn w:val="7"/>
    <w:link w:val="4"/>
    <w:uiPriority w:val="0"/>
    <w:rPr>
      <w:rFonts w:eastAsia="PMingLiU"/>
      <w:sz w:val="18"/>
      <w:szCs w:val="18"/>
      <w:lang w:eastAsia="en-US"/>
    </w:rPr>
  </w:style>
  <w:style w:type="character" w:customStyle="1" w:styleId="13">
    <w:name w:val="页脚 Char"/>
    <w:basedOn w:val="7"/>
    <w:link w:val="3"/>
    <w:uiPriority w:val="0"/>
    <w:rPr>
      <w:rFonts w:eastAsia="PMingLiU"/>
      <w:sz w:val="18"/>
      <w:szCs w:val="18"/>
      <w:lang w:eastAsia="en-US"/>
    </w:rPr>
  </w:style>
  <w:style w:type="paragraph" w:styleId="14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15">
    <w:name w:val="批注框文本 Char"/>
    <w:basedOn w:val="7"/>
    <w:link w:val="2"/>
    <w:uiPriority w:val="0"/>
    <w:rPr>
      <w:rFonts w:eastAsia="PMingLiU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F4A63B-2D3A-440E-96AF-25DC9A135F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335</Words>
  <Characters>1912</Characters>
  <Lines>15</Lines>
  <Paragraphs>4</Paragraphs>
  <TotalTime>1</TotalTime>
  <ScaleCrop>false</ScaleCrop>
  <LinksUpToDate>false</LinksUpToDate>
  <CharactersWithSpaces>2243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2019-09-12T08:10:00Z</dcterms:created>
  <dc:creator>lenovo</dc:creator>
  <cp:lastModifiedBy>落情湖</cp:lastModifiedBy>
  <cp:lastPrinted>2019-02-27T02:04:00Z</cp:lastPrinted>
  <dcterms:modified xsi:type="dcterms:W3CDTF">2019-09-27T03:31:48Z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