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ascii="宋体" w:hAnsi="宋体" w:eastAsia="宋体"/>
          <w:b/>
          <w:sz w:val="32"/>
          <w:szCs w:val="32"/>
          <w:lang w:eastAsia="zh-CN"/>
        </w:rPr>
        <w:t>概率与统计学II</w:t>
      </w:r>
      <w:r>
        <w:rPr>
          <w:rFonts w:hint="eastAsia" w:eastAsia="宋体"/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926"/>
        <w:gridCol w:w="221"/>
        <w:gridCol w:w="14"/>
        <w:gridCol w:w="455"/>
        <w:gridCol w:w="2286"/>
        <w:gridCol w:w="473"/>
        <w:gridCol w:w="2786"/>
        <w:gridCol w:w="900"/>
        <w:gridCol w:w="234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7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PMingLiU" w:hAnsi="PMingLiU" w:eastAsia="宋体"/>
                <w:szCs w:val="21"/>
                <w:lang w:eastAsia="zh-CN"/>
              </w:rPr>
              <w:t>概率与统计学</w:t>
            </w:r>
            <w:r>
              <w:rPr>
                <w:rFonts w:ascii="PMingLiU" w:hAnsi="PMingLiU" w:eastAsia="宋体"/>
                <w:szCs w:val="21"/>
                <w:lang w:eastAsia="zh-CN"/>
              </w:rPr>
              <w:t>II</w:t>
            </w:r>
          </w:p>
        </w:tc>
        <w:tc>
          <w:tcPr>
            <w:tcW w:w="5024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hint="eastAsia" w:ascii="PMingLiU" w:hAnsi="PMingLiU" w:eastAsia="宋体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7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5024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77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授课时间：星期一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~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七节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024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620</w:t>
            </w:r>
            <w:r>
              <w:rPr>
                <w:rFonts w:ascii="PMingLiU" w:hAnsi="PMingLiU" w:eastAsia="宋体"/>
                <w:b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级计算机科学与技术系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电商专业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开课院系：粤台产业科技学院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计算机科学与技术系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职称：杨硕蓉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（○）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使用教材：统计学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第六版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，贾俊平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编着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教学参考资料：商务与经济统计学（第八版），作者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（美）林德等着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王维国译注，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ISBN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9787565417757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简介：本课程系一门实用专业基础课程，在数据分析领域中占有重要地位。本课程设置目的，一方面是为学习数据分析领域之基础课程，另一方面，亦进一步为学习专业统计，为分析之程序语言课程奠定理论方法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4850" w:type="dxa"/>
            <w:gridSpan w:val="7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培养学生理解统计在科学分析中的重要作用；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学会数据搜寻分析解释的能力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培养自我持续学习的习惯与能力。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掌握及运用推论统计的基本内容，教导学生解题技巧；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建构学生基础统计知识，提高数据实务分析能力。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551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：具有运用数学、基础科学及计算机科学与技术相关知识的能力；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：具有计算机软件开发与数据搜寻分析解释的能力；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：具有计算机软件工程技术应用、数据搜集分析应用跨境电商运营知识与技能、及大数据技术的专业所需的技术、技能和使用软硬件辅助工具的能力；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：具有编程设计能力并能应用计算机与数据分析科技来辅助、及大数据技术分析，促进跨境电商运营的能力；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：具有项目管理、有效沟通、领域整合与团队合作的能力；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：具有运用计算机科学与技术理论及应用知识，整合计算机应用技术、数据分析应用及跨境电商运营专业，解决相关问题和进行研发或创新的能力；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：具有应对计算机科学与技术快速变迁的能力，并培养自我持续学习的习惯与能力；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：具有理解职业道德、专业伦理、社会责任、国际观以及开拓全球视野的能力。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假设检验基本原理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教导学生建立假设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建立假设过程需进行明确判断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介绍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假设过程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过程，培养科学精神、工匠精神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单样本均值检定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-F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理解在母体均方差已知的情况下，学习单样本均值检定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F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检定与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检定易于混淆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介绍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均值检定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，掌握科学的方法论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/>
                <w:sz w:val="20"/>
                <w:szCs w:val="20"/>
                <w:lang w:eastAsia="zh-TW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</w:rPr>
            </w:pPr>
          </w:p>
        </w:tc>
        <w:tc>
          <w:tcPr>
            <w:tcW w:w="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/>
                <w:sz w:val="20"/>
                <w:szCs w:val="20"/>
                <w:lang w:eastAsia="zh-TW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单样本均值检定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-T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理解在母体均方差未知的情况下，学习单样本均值检定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其中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F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检定与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T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检定易于混淆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介绍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均值检定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，掌握科学的方法论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单样本比例检定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学习单样本比例检定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完整理解单样本假设检验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介绍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均值检定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，掌握科学的方法论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双样本均值检定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独立样本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理解双样本均值检定中的独立样本分析</w:t>
            </w:r>
          </w:p>
          <w:p>
            <w:pPr>
              <w:spacing w:line="0" w:lineRule="atLeast"/>
              <w:rPr>
                <w:rFonts w:ascii="PMingLiU" w:hAnsi="PMingLiU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独立样本与成对样本之差异为困难点</w:t>
            </w:r>
          </w:p>
          <w:p>
            <w:pPr>
              <w:spacing w:line="0" w:lineRule="atLeast"/>
              <w:rPr>
                <w:rFonts w:ascii="PMingLiU" w:hAnsi="PMingLiU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双样本均值检定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成对样本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理解双样本均值检定中的成对样本分析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独立样本与成对样本之差异为困难点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期中考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双样本比例检定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理解双样本比例检定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分辨多种双样本之检定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双样本方差检定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理解双样本方差检定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分辨多种双样本之检定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多样本均值检定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-ANOVA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理解多样本均值检定的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ANOVA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分析方法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分辨与多样本均值检定的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F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检定之差异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多样本均值检定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-F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理解多样本均值检定的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F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分辨与多样本均值检定的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ANOVA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分析方法之差异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TW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多样本方差检定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理解多样本方差检定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理解列联分析为其困难之处</w:t>
            </w:r>
          </w:p>
          <w:p>
            <w:pPr>
              <w:spacing w:line="0" w:lineRule="atLeast"/>
              <w:rPr>
                <w:rFonts w:ascii="PMingLiU" w:hAnsi="PMingLiU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一元线性回归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教导学生一元线性回归之基础概念与运用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理解并能实际进行运用为其困难点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培育科学探索精神和创新意识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，培育踏实严谨、精益求精的工匠精神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  <w:tc>
          <w:tcPr>
            <w:tcW w:w="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5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多元线性回归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教导学生多元线性回归之基础概念与运用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区分各种回归方式为其难点</w:t>
            </w:r>
          </w:p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培育科学探索精神和创新意识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，培育踏实严谨、精益求精的工匠精神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1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TW"/>
              </w:rPr>
            </w:pPr>
          </w:p>
        </w:tc>
        <w:tc>
          <w:tcPr>
            <w:tcW w:w="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  <w:tc>
          <w:tcPr>
            <w:tcW w:w="55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期末考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  <w:tc>
          <w:tcPr>
            <w:tcW w:w="5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b/>
                <w:sz w:val="20"/>
                <w:szCs w:val="20"/>
                <w:lang w:eastAsia="zh-CN"/>
              </w:rPr>
              <w:t>合计：</w:t>
            </w:r>
          </w:p>
        </w:tc>
        <w:tc>
          <w:tcPr>
            <w:tcW w:w="4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55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1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7135" w:type="dxa"/>
            <w:gridSpan w:val="7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1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平时出席</w:t>
            </w:r>
          </w:p>
        </w:tc>
        <w:tc>
          <w:tcPr>
            <w:tcW w:w="7135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考勤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1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课堂实作</w:t>
            </w:r>
          </w:p>
        </w:tc>
        <w:tc>
          <w:tcPr>
            <w:tcW w:w="7135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课堂表现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1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期中考</w:t>
            </w:r>
          </w:p>
        </w:tc>
        <w:tc>
          <w:tcPr>
            <w:tcW w:w="7135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闭卷考核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1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期末考</w:t>
            </w:r>
          </w:p>
        </w:tc>
        <w:tc>
          <w:tcPr>
            <w:tcW w:w="7135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闭卷考核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TW"/>
              </w:rPr>
              <w:t>9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/09/5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1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39165" cy="428625"/>
                  <wp:effectExtent l="0" t="0" r="13335" b="9525"/>
                  <wp:docPr id="1" name="图片 1" descr="时维宁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时维宁签名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12C88"/>
    <w:rsid w:val="00057CB9"/>
    <w:rsid w:val="00061F27"/>
    <w:rsid w:val="0006698D"/>
    <w:rsid w:val="00074B8E"/>
    <w:rsid w:val="00087B74"/>
    <w:rsid w:val="000B626E"/>
    <w:rsid w:val="000C2D4A"/>
    <w:rsid w:val="000C4FAA"/>
    <w:rsid w:val="000E0AE8"/>
    <w:rsid w:val="00113022"/>
    <w:rsid w:val="00155E5A"/>
    <w:rsid w:val="00171228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23C3"/>
    <w:rsid w:val="0037561C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06F75"/>
    <w:rsid w:val="005639AB"/>
    <w:rsid w:val="0056469F"/>
    <w:rsid w:val="005805E8"/>
    <w:rsid w:val="005911D3"/>
    <w:rsid w:val="005B10C8"/>
    <w:rsid w:val="005C7CAC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12D8"/>
    <w:rsid w:val="009A2B5C"/>
    <w:rsid w:val="009B3EAE"/>
    <w:rsid w:val="009C3354"/>
    <w:rsid w:val="009D3079"/>
    <w:rsid w:val="009F076F"/>
    <w:rsid w:val="009F29A1"/>
    <w:rsid w:val="009F7907"/>
    <w:rsid w:val="00A41C45"/>
    <w:rsid w:val="00A84D68"/>
    <w:rsid w:val="00A85774"/>
    <w:rsid w:val="00AA199F"/>
    <w:rsid w:val="00AA3835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50605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A6C73"/>
    <w:rsid w:val="00FE22C8"/>
    <w:rsid w:val="07274C4B"/>
    <w:rsid w:val="28AD1D92"/>
    <w:rsid w:val="2C23799B"/>
    <w:rsid w:val="2C245B3C"/>
    <w:rsid w:val="375A061A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字符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字符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字符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31111-E47E-4597-81D9-0D00FD9B3E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391</Words>
  <Characters>2233</Characters>
  <Lines>18</Lines>
  <Paragraphs>5</Paragraphs>
  <TotalTime>1</TotalTime>
  <ScaleCrop>false</ScaleCrop>
  <LinksUpToDate>false</LinksUpToDate>
  <CharactersWithSpaces>2619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2019-09-05T01:21:00Z</cp:lastPrinted>
  <dcterms:modified xsi:type="dcterms:W3CDTF">2019-09-27T02:54:14Z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