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财务管理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6"/>
        <w:tblW w:w="94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09"/>
        <w:gridCol w:w="94"/>
        <w:gridCol w:w="565"/>
        <w:gridCol w:w="2501"/>
        <w:gridCol w:w="1822"/>
        <w:gridCol w:w="963"/>
        <w:gridCol w:w="100"/>
        <w:gridCol w:w="322"/>
        <w:gridCol w:w="104"/>
        <w:gridCol w:w="1063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1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F</w:t>
            </w:r>
            <w:r>
              <w:rPr>
                <w:rFonts w:hint="eastAsia"/>
                <w:sz w:val="21"/>
                <w:szCs w:val="21"/>
                <w:lang w:eastAsia="zh-TW"/>
              </w:rPr>
              <w:t>inancial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1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/>
                <w:sz w:val="21"/>
                <w:szCs w:val="21"/>
                <w:lang w:eastAsia="zh-TW"/>
              </w:rPr>
              <w:t>48/3/3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/>
                <w:sz w:val="21"/>
                <w:szCs w:val="21"/>
                <w:lang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1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第1节至第3节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/>
                <w:sz w:val="21"/>
                <w:szCs w:val="21"/>
                <w:lang w:eastAsia="zh-TW"/>
              </w:rPr>
              <w:t>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级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经济与金融系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谢依珊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周五 9:00~11:00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实验楼</w:t>
            </w:r>
            <w:r>
              <w:rPr>
                <w:rFonts w:hint="eastAsia"/>
                <w:sz w:val="21"/>
                <w:szCs w:val="21"/>
                <w:lang w:eastAsia="zh-CN"/>
              </w:rPr>
              <w:t>204/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面授与讨论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《财务管理学》，第2版，肖淑芳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、佟岩、刘宁悦主编，北京理工大学出版社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ind w:left="1581" w:hanging="1581" w:hangingChars="750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/>
                <w:bCs/>
                <w:sz w:val="21"/>
                <w:szCs w:val="21"/>
                <w:lang w:eastAsia="zh-TW"/>
              </w:rPr>
              <w:t>1.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《Corporate Finance: Core Principles and Applications 》, 4th Edition, Stephen Ross, Randolph Westerfield, Jeffrey Jaffe and Bradford Jordan, McGraw-Hill Education.</w:t>
            </w:r>
          </w:p>
          <w:p>
            <w:pPr>
              <w:tabs>
                <w:tab w:val="left" w:pos="1440"/>
              </w:tabs>
              <w:spacing w:after="0" w:line="360" w:lineRule="exact"/>
              <w:ind w:left="3015" w:leftChars="600" w:hanging="1575" w:hangingChars="750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《财务管理》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第四版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刘淑莲等主编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东北财经大学出版社。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本课程将详论公司治理中的投资决策、融资决策、分配政策、短期营运资金管理等重要决策，包括</w:t>
            </w:r>
            <w:r>
              <w:rPr>
                <w:rFonts w:eastAsia="宋体"/>
                <w:sz w:val="21"/>
                <w:szCs w:val="21"/>
                <w:lang w:eastAsia="zh-CN"/>
              </w:rPr>
              <w:t>:(1)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解读企业财务报表与学习财务分析技巧(</w:t>
            </w: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)通过资金时间价值的概念，了解金融资产的估价方式、预期报酬与风险的衡量；</w:t>
            </w:r>
            <w:r>
              <w:rPr>
                <w:rFonts w:eastAsia="宋体"/>
                <w:sz w:val="21"/>
                <w:szCs w:val="21"/>
                <w:lang w:eastAsia="zh-CN"/>
              </w:rPr>
              <w:t>(3)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企业资本结构与股利发放决策，及其对股东财富最大化的作用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832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充分掌握财务管理的目标、内容及分析方式，并运用在日常投资理财决策中。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培养同学具备创新精神和分析解决财务、金融与会计等问题的实践能力，未来能在企业、事业单位和行政部门从事财务、金融管理、会计、教学与科研等方面工作的人才。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培养学生具有主动参与、积极进取、探究财务管理的学习学习态度和思想意识。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养成理论联系实际、分析严谨、认真细致、实事求是的学习态度和职业道德。</w:t>
            </w:r>
          </w:p>
        </w:tc>
        <w:tc>
          <w:tcPr>
            <w:tcW w:w="2572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0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5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38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32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18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财务管理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总论</w:t>
            </w:r>
          </w:p>
        </w:tc>
        <w:tc>
          <w:tcPr>
            <w:tcW w:w="565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重点：财务管理的内容、目标、代理问题及财务管理环境。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难点：企业委托人与代理人的关系图。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课程思政融入点：学习企业不只是追求经济利润，也要关注社会效益，增强社会责任感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课程思政作业:案例</w:t>
            </w:r>
            <w:r>
              <w:rPr>
                <w:rFonts w:hint="eastAsia"/>
                <w:sz w:val="21"/>
                <w:szCs w:val="21"/>
                <w:lang w:eastAsia="zh-CN"/>
              </w:rPr>
              <w:t>1-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雷士照明控制权之争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财务报表分析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(一)</w:t>
            </w:r>
          </w:p>
        </w:tc>
        <w:tc>
          <w:tcPr>
            <w:tcW w:w="565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重点：财务报表信息与分析方法。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难点：财报信息的合理性判断。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课程思政融入点：学习以诚信编制财务报表，并以客观角度分析公司经营状况。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财务报表分析(二)、短期财务决策</w:t>
            </w:r>
          </w:p>
        </w:tc>
        <w:tc>
          <w:tcPr>
            <w:tcW w:w="565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5386" w:type="dxa"/>
            <w:gridSpan w:val="4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重点：财务比率分析、短期财务决策。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难点：财务比率的运用与解读、企业同产业比较、同企业跨期比较、了解营业周期与现金周期的概念，案例分析。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课程思政融入点：学习以客观的角度分析财报中的信息。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vAlign w:val="center"/>
          </w:tcPr>
          <w:p>
            <w:pPr>
              <w:spacing w:after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课程思政作业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:案例</w:t>
            </w:r>
            <w:r>
              <w:rPr>
                <w:rFonts w:hint="eastAsia"/>
                <w:sz w:val="21"/>
                <w:szCs w:val="21"/>
                <w:lang w:eastAsia="zh-CN"/>
              </w:rPr>
              <w:t>2-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戴尔存货管理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资金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时间价值</w:t>
            </w: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3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重点：资金时间价值、利率决定因素。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难点：理解现值与终值的概念，并厘清其差异。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课程思政融入点：通过为人处世教育，向学生揭示校园贷的本质与危害。</w:t>
            </w:r>
          </w:p>
        </w:tc>
        <w:tc>
          <w:tcPr>
            <w:tcW w:w="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课程思政作业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:案例</w:t>
            </w:r>
            <w:r>
              <w:rPr>
                <w:rFonts w:hint="eastAsia"/>
                <w:sz w:val="21"/>
                <w:szCs w:val="21"/>
                <w:lang w:eastAsia="zh-CN"/>
              </w:rPr>
              <w:t>3-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四川长虹事件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估值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（一）</w:t>
            </w:r>
          </w:p>
        </w:tc>
        <w:tc>
          <w:tcPr>
            <w:tcW w:w="5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3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重点：有效市场假说、利率概念、债券价值评估。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难点：债券价值与息票率、期限和收益率之间的关系。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课程思政融入点：金融专业人才从事股市分析的技术准备。</w:t>
            </w:r>
          </w:p>
        </w:tc>
        <w:tc>
          <w:tcPr>
            <w:tcW w:w="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估值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（二）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重点：股票价值评估。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难点：股权自由现金流量方法和公司自由现金流量方法。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课程思政融入点：金融专业人才从事股市分析的技术准备。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长期投资决策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重点：项目现金流量预测、投资项目评价准则与风险分析。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难点：净现值、内部收益率准则在互斥项目分析评价中的比较、投资项目的敏感性分析。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课程思政融入点：引导学生树立创新创业的思想、培养积极合作、互相配合的团队意识。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风险与收益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重点：历史收益与风险衡量、预期收益率与风险衡量、投资组合、资本资产定价模型。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难点：投资组合的有效边界与风险分散效应、资本市场线、资产定价多因素模型。</w:t>
            </w:r>
          </w:p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课程思政融入点：培养学生分散风险的概念。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长期筹资方式(一)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重点：长期筹资概述、权益性筹资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难点：股权再融资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长期筹资方式(二)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重点：债务性筹资与混合型筹资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难点：债务性筹资与混合型筹资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13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资金成本的估算(一)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重点：资金构成要素、资金成本估算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难点：留存收益成本的概念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资金成本的估算(二)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重点：资金成本的影响因素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难点：资金成本与投资收益之间的关系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资本结构与杠杆（一）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重点：MM理论、权衡理论、信息部对称理论、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难点：资本结构的内涵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资本结构与杠杆（二）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重点：杠杆原理。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难点：经营杠杆与财务杠杆的内涵</w:t>
            </w:r>
          </w:p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</w:t>
            </w:r>
            <w:r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atLeast"/>
          <w:jc w:val="center"/>
        </w:trPr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56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50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56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43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06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5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案例</w:t>
            </w:r>
            <w:r>
              <w:rPr>
                <w:rFonts w:hint="eastAsia"/>
                <w:sz w:val="21"/>
                <w:szCs w:val="21"/>
                <w:lang w:eastAsia="zh-CN"/>
              </w:rPr>
              <w:t>1-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雷士照明控制权之争</w:t>
            </w:r>
          </w:p>
        </w:tc>
        <w:tc>
          <w:tcPr>
            <w:tcW w:w="565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重点:了解控制权争纷的来龙去脉及控制权丧失的主因。</w:t>
            </w:r>
          </w:p>
          <w:p>
            <w:pPr>
              <w:spacing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难点:研究上市公司如何保持控制权</w:t>
            </w:r>
          </w:p>
          <w:p>
            <w:pPr>
              <w:spacing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EXCEL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财务函数操作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货币时间价值之应用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323" w:type="dxa"/>
            <w:gridSpan w:val="2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重点：提出(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)贷款买房最佳的还款方式；(2)中头彩后最佳的领奖方式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)举债公司各期的还款现金流。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难点：利用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EXCEL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计算终值与现值。</w:t>
            </w:r>
          </w:p>
          <w:p>
            <w:pPr>
              <w:spacing w:after="0" w:line="36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机上操作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案例</w:t>
            </w:r>
            <w:r>
              <w:rPr>
                <w:rFonts w:hint="eastAsia"/>
                <w:sz w:val="21"/>
                <w:szCs w:val="21"/>
                <w:lang w:eastAsia="zh-CN"/>
              </w:rPr>
              <w:t>2-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戴尔存货管理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案例</w:t>
            </w:r>
            <w:r>
              <w:rPr>
                <w:rFonts w:hint="eastAsia"/>
                <w:sz w:val="21"/>
                <w:szCs w:val="21"/>
                <w:lang w:eastAsia="zh-CN"/>
              </w:rPr>
              <w:t>3-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四川长虹事件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戴尔存货管理、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四川长虹事件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难点：存货管理的概念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财报报表分析个人报告(一)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选定目标公司进行财务分析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难点：简洁扼要说明投资标的的现况并给与投资建议。</w:t>
            </w:r>
          </w:p>
          <w:p>
            <w:pPr>
              <w:spacing w:after="0" w:line="36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财报报表分析个人报告(二)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选定目标公司进行财务分析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难点：简洁扼要说明投资标的的现况并给与投资建议。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财报报表分析个人报告(三)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选定目标公司进行财务分析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难点：简洁扼要说明投资标的的现况并给与投资建议。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财报报表分析个人报告(四)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选定目标公司进行财务分析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难点：简洁扼要说明投资标的的现况并给与投资建议。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财报报表分析个人报告(五)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选定目标公司进行财务分析</w:t>
            </w:r>
          </w:p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难点：简洁扼要说明投资标的的现况并给与投资建议。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4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56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16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不迟到、不早退、不旷课、不滑手机、不饮食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ind w:left="187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kern w:val="2"/>
                <w:sz w:val="21"/>
                <w:szCs w:val="21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课</w:t>
            </w: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</w:rPr>
              <w:t>堂讨论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eastAsia="zh-CN"/>
              </w:rPr>
              <w:t>案例讨论与分析、演练题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ind w:left="187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课堂</w:t>
            </w: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</w:rPr>
              <w:t>报告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个人报告：财务报表分析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ind w:left="187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ind w:left="187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pStyle w:val="5"/>
              <w:spacing w:before="0" w:beforeAutospacing="0" w:after="0" w:afterAutospacing="0"/>
              <w:ind w:left="187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4" w:type="dxa"/>
            <w:gridSpan w:val="1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eastAsia"/>
                <w:b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2019.09.09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4" w:type="dxa"/>
            <w:gridSpan w:val="12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167640</wp:posOffset>
                  </wp:positionV>
                  <wp:extent cx="1635125" cy="920750"/>
                  <wp:effectExtent l="0" t="0" r="3175" b="12700"/>
                  <wp:wrapNone/>
                  <wp:docPr id="1" name="图片 1" descr="谢松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松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44E3"/>
    <w:multiLevelType w:val="multilevel"/>
    <w:tmpl w:val="676E44E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ideographTraditional"/>
      <w:lvlText w:val="%5、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ideographTraditional"/>
      <w:lvlText w:val="%8、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132DF"/>
    <w:rsid w:val="00057CB9"/>
    <w:rsid w:val="00061F27"/>
    <w:rsid w:val="0006625D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126D"/>
    <w:rsid w:val="001B31E9"/>
    <w:rsid w:val="001C7527"/>
    <w:rsid w:val="001D28E8"/>
    <w:rsid w:val="001E1214"/>
    <w:rsid w:val="001F20BC"/>
    <w:rsid w:val="002111AE"/>
    <w:rsid w:val="00220BD8"/>
    <w:rsid w:val="00227119"/>
    <w:rsid w:val="00234B09"/>
    <w:rsid w:val="00295970"/>
    <w:rsid w:val="002C0D8F"/>
    <w:rsid w:val="002E27E1"/>
    <w:rsid w:val="003044FA"/>
    <w:rsid w:val="003362E2"/>
    <w:rsid w:val="003403E2"/>
    <w:rsid w:val="00352B7D"/>
    <w:rsid w:val="0037561C"/>
    <w:rsid w:val="003C03BB"/>
    <w:rsid w:val="003C66D8"/>
    <w:rsid w:val="003E2BAB"/>
    <w:rsid w:val="003E45C9"/>
    <w:rsid w:val="003E66A6"/>
    <w:rsid w:val="004124E2"/>
    <w:rsid w:val="00414FC8"/>
    <w:rsid w:val="00457E42"/>
    <w:rsid w:val="004A0195"/>
    <w:rsid w:val="004B3994"/>
    <w:rsid w:val="004B7C67"/>
    <w:rsid w:val="004C07A2"/>
    <w:rsid w:val="004D29DE"/>
    <w:rsid w:val="004D4C83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D53F3"/>
    <w:rsid w:val="00812676"/>
    <w:rsid w:val="008147FF"/>
    <w:rsid w:val="00815F78"/>
    <w:rsid w:val="00825F98"/>
    <w:rsid w:val="00837BA5"/>
    <w:rsid w:val="008512DF"/>
    <w:rsid w:val="00855020"/>
    <w:rsid w:val="0088296A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A3C95"/>
    <w:rsid w:val="00BA4A97"/>
    <w:rsid w:val="00BB35F5"/>
    <w:rsid w:val="00C06D81"/>
    <w:rsid w:val="00C37EB8"/>
    <w:rsid w:val="00C41D05"/>
    <w:rsid w:val="00C479CB"/>
    <w:rsid w:val="00C705DD"/>
    <w:rsid w:val="00C76FA2"/>
    <w:rsid w:val="00CA1AB8"/>
    <w:rsid w:val="00CC4A46"/>
    <w:rsid w:val="00CC7067"/>
    <w:rsid w:val="00CD2F8F"/>
    <w:rsid w:val="00D1309A"/>
    <w:rsid w:val="00D268B2"/>
    <w:rsid w:val="00D40F3E"/>
    <w:rsid w:val="00D45246"/>
    <w:rsid w:val="00D62B41"/>
    <w:rsid w:val="00DA6E7C"/>
    <w:rsid w:val="00DB45CF"/>
    <w:rsid w:val="00DB5724"/>
    <w:rsid w:val="00DF5733"/>
    <w:rsid w:val="00DF5C03"/>
    <w:rsid w:val="00E00AC0"/>
    <w:rsid w:val="00E0505F"/>
    <w:rsid w:val="00E27C07"/>
    <w:rsid w:val="00E31D91"/>
    <w:rsid w:val="00E413E8"/>
    <w:rsid w:val="00E53E23"/>
    <w:rsid w:val="00E7089B"/>
    <w:rsid w:val="00EA4A7E"/>
    <w:rsid w:val="00EC2295"/>
    <w:rsid w:val="00ED3FCA"/>
    <w:rsid w:val="00F31667"/>
    <w:rsid w:val="00F617C2"/>
    <w:rsid w:val="00F641FD"/>
    <w:rsid w:val="00F96D96"/>
    <w:rsid w:val="00FA0724"/>
    <w:rsid w:val="00FD65B3"/>
    <w:rsid w:val="00FE22C8"/>
    <w:rsid w:val="00FF0E36"/>
    <w:rsid w:val="28AD1D92"/>
    <w:rsid w:val="2C23799B"/>
    <w:rsid w:val="489544D1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PMingLiU" w:hAnsi="PMingLiU" w:cs="PMingLiU"/>
      <w:szCs w:val="24"/>
      <w:lang w:eastAsia="zh-TW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iPriority w:val="0"/>
    <w:rPr>
      <w:color w:val="0563C1" w:themeColor="hyperlink"/>
      <w:u w:val="single"/>
    </w:rPr>
  </w:style>
  <w:style w:type="paragraph" w:customStyle="1" w:styleId="11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2">
    <w:name w:val="fontstyle01"/>
    <w:basedOn w:val="8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3">
    <w:name w:val="頁首 字元"/>
    <w:basedOn w:val="8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頁尾 字元"/>
    <w:basedOn w:val="8"/>
    <w:link w:val="3"/>
    <w:uiPriority w:val="0"/>
    <w:rPr>
      <w:rFonts w:eastAsia="PMingLiU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註解方塊文字 字元"/>
    <w:basedOn w:val="8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C9961-A251-42F9-9E5B-9A034F320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522</Words>
  <Characters>2979</Characters>
  <Lines>24</Lines>
  <Paragraphs>6</Paragraphs>
  <TotalTime>1288</TotalTime>
  <ScaleCrop>false</ScaleCrop>
  <LinksUpToDate>false</LinksUpToDate>
  <CharactersWithSpaces>3495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2019-09-27T03:07:13Z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