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>
        <w:rPr>
          <w:b/>
          <w:sz w:val="32"/>
          <w:szCs w:val="32"/>
        </w:rPr>
        <w:t>《</w:t>
      </w:r>
      <w:r>
        <w:rPr>
          <w:rFonts w:hint="eastAsia"/>
          <w:b/>
          <w:sz w:val="32"/>
          <w:szCs w:val="32"/>
        </w:rPr>
        <w:t>机械数字化技术与仿真</w:t>
      </w:r>
      <w:r>
        <w:rPr>
          <w:b/>
          <w:sz w:val="32"/>
          <w:szCs w:val="32"/>
        </w:rPr>
        <w:t>》教学大纲</w:t>
      </w:r>
    </w:p>
    <w:tbl>
      <w:tblPr>
        <w:tblStyle w:val="5"/>
        <w:tblW w:w="9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59"/>
        <w:gridCol w:w="369"/>
        <w:gridCol w:w="623"/>
        <w:gridCol w:w="1660"/>
        <w:gridCol w:w="1557"/>
        <w:gridCol w:w="1560"/>
        <w:gridCol w:w="42"/>
        <w:gridCol w:w="490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课程名称：</w:t>
            </w:r>
            <w:r>
              <w:rPr>
                <w:rFonts w:hint="eastAsia" w:eastAsia="宋体"/>
                <w:b/>
                <w:sz w:val="21"/>
                <w:szCs w:val="21"/>
              </w:rPr>
              <w:t>机械数字化技术与仿真</w:t>
            </w:r>
          </w:p>
        </w:tc>
        <w:tc>
          <w:tcPr>
            <w:tcW w:w="4742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课程类别（必修/选修）：选修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课程英文名称：Mechanical digital technology and simulation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总学时/周学时/学分：</w:t>
            </w:r>
            <w:r>
              <w:rPr>
                <w:rFonts w:hint="eastAsia" w:eastAsia="宋体"/>
                <w:b/>
                <w:sz w:val="21"/>
                <w:szCs w:val="21"/>
              </w:rPr>
              <w:t>48/3/3</w:t>
            </w:r>
          </w:p>
        </w:tc>
        <w:tc>
          <w:tcPr>
            <w:tcW w:w="4742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其中实验/实践学时：</w:t>
            </w:r>
            <w:r>
              <w:rPr>
                <w:rFonts w:hint="eastAsia" w:eastAsia="宋体"/>
                <w:b/>
                <w:sz w:val="21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先修课程：</w:t>
            </w:r>
            <w:r>
              <w:rPr>
                <w:rFonts w:hint="eastAsia" w:eastAsia="宋体"/>
                <w:b/>
                <w:sz w:val="21"/>
                <w:szCs w:val="21"/>
              </w:rPr>
              <w:t>现代机械设计方法，材料力学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授课时间：2</w:t>
            </w:r>
            <w:r>
              <w:rPr>
                <w:rFonts w:hint="eastAsia" w:eastAsia="宋体"/>
                <w:b/>
                <w:sz w:val="21"/>
                <w:szCs w:val="21"/>
              </w:rPr>
              <w:t>至</w:t>
            </w:r>
            <w:r>
              <w:rPr>
                <w:rFonts w:eastAsia="宋体"/>
                <w:b/>
                <w:sz w:val="21"/>
                <w:szCs w:val="21"/>
              </w:rPr>
              <w:t>1</w:t>
            </w:r>
            <w:r>
              <w:rPr>
                <w:rFonts w:hint="eastAsia" w:eastAsia="宋体"/>
                <w:b/>
                <w:sz w:val="21"/>
                <w:szCs w:val="21"/>
              </w:rPr>
              <w:t>7周，周一</w:t>
            </w:r>
            <w:r>
              <w:rPr>
                <w:rFonts w:eastAsia="宋体"/>
                <w:b/>
                <w:sz w:val="21"/>
                <w:szCs w:val="21"/>
              </w:rPr>
              <w:t xml:space="preserve"> 1-3</w:t>
            </w:r>
            <w:r>
              <w:rPr>
                <w:rFonts w:hint="eastAsia" w:eastAsia="宋体"/>
                <w:b/>
                <w:sz w:val="21"/>
                <w:szCs w:val="21"/>
              </w:rPr>
              <w:t>节</w:t>
            </w:r>
          </w:p>
        </w:tc>
        <w:tc>
          <w:tcPr>
            <w:tcW w:w="4742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授课地点：</w:t>
            </w:r>
            <w:r>
              <w:rPr>
                <w:rFonts w:hint="eastAsia" w:eastAsia="宋体"/>
                <w:b/>
                <w:sz w:val="21"/>
                <w:szCs w:val="21"/>
              </w:rPr>
              <w:t>机电楼</w:t>
            </w:r>
            <w:r>
              <w:rPr>
                <w:rFonts w:eastAsia="宋体"/>
                <w:b/>
                <w:sz w:val="21"/>
                <w:szCs w:val="21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授课对象</w:t>
            </w:r>
            <w:r>
              <w:rPr>
                <w:rFonts w:eastAsia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2018精密制造1班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开课学院：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粤台产业科技学院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任课教师姓名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职称：</w:t>
            </w:r>
            <w:r>
              <w:rPr>
                <w:rFonts w:hint="eastAsia" w:ascii="PMingLiU" w:hAnsi="PMingLiU" w:eastAsia="宋体"/>
                <w:b/>
                <w:sz w:val="21"/>
                <w:szCs w:val="21"/>
                <w:lang w:eastAsia="zh-CN"/>
              </w:rPr>
              <w:t>吕杰融</w:t>
            </w:r>
            <w:r>
              <w:rPr>
                <w:rFonts w:ascii="PMingLiU" w:hAnsi="PMingLiU"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PMingLiU" w:hAnsi="PMingLiU" w:eastAsia="宋体"/>
                <w:b/>
                <w:sz w:val="21"/>
                <w:szCs w:val="21"/>
                <w:lang w:eastAsia="zh-CN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答疑时间、地点与方式：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课前、课间和课后；教室；网络、交流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eastAsia="宋体"/>
                <w:sz w:val="21"/>
                <w:szCs w:val="21"/>
                <w:lang w:eastAsia="zh-CN"/>
              </w:rPr>
              <w:t>开卷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   ）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 闭卷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（  ）   </w:t>
            </w:r>
            <w:r>
              <w:rPr>
                <w:rFonts w:eastAsia="宋体"/>
                <w:sz w:val="21"/>
                <w:szCs w:val="21"/>
                <w:lang w:eastAsia="zh-CN"/>
              </w:rPr>
              <w:t>课程论文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（  ）   </w:t>
            </w:r>
            <w:r>
              <w:rPr>
                <w:rFonts w:eastAsia="宋体"/>
                <w:sz w:val="21"/>
                <w:szCs w:val="21"/>
                <w:lang w:eastAsia="zh-CN"/>
              </w:rPr>
              <w:t>其它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有限元基础理论与</w:t>
            </w: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ANSYS18.0</w:t>
            </w: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应用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》</w:t>
            </w: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，张洪信，管殿柱，机械工业出版社，</w:t>
            </w: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2018-08-17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ANSYS 18.0</w:t>
            </w: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有限元分析从入门到精通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》</w:t>
            </w: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，曹渊，电子工业出版社，</w:t>
            </w: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2018-03-01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ABAQUS 2016</w:t>
            </w: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有限元分析从入门到精通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》</w:t>
            </w: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CAD/CAM/CAE</w:t>
            </w: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技术联盟，清华大学出版社，</w:t>
            </w: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2017-07-01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课程简介：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本课程主要介绍工程上最常用的有限元素法，内容包含计算机辅助工程分析的基本概念、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ANSYS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分析软件将用为实习工具，讲授建模、分析与后处理的技巧。静力分析、动力分析、热传分析及应力分析将做为实际工程应用实例，本学期将加入工业设计、</w:t>
            </w:r>
            <w:r>
              <w:rPr>
                <w:rFonts w:hint="eastAsia" w:ascii="PMingLiU" w:hAnsi="PMingLiU" w:eastAsia="宋体"/>
                <w:b/>
                <w:sz w:val="21"/>
                <w:szCs w:val="21"/>
                <w:lang w:eastAsia="zh-CN"/>
              </w:rPr>
              <w:t>结构优化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分析相关主题，期望扩展学生的实务观念与设计视野。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6216" w:type="dxa"/>
            <w:gridSpan w:val="6"/>
          </w:tcPr>
          <w:p>
            <w:pPr>
              <w:tabs>
                <w:tab w:val="left" w:pos="1440"/>
              </w:tabs>
              <w:spacing w:line="360" w:lineRule="exact"/>
              <w:ind w:firstLine="422" w:firstLineChars="200"/>
              <w:outlineLvl w:val="0"/>
              <w:rPr>
                <w:b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一、知识目标：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了解有限元法的特点及利用有限元分析结构的基本步骤。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2. 培养学生有关有限元素方法和计算力学的原理和技巧。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二、能力目标：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1. 熟练掌握有限元素方法和计算力学的原理和技巧。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2. 能培养实务工程分析与科技报告写作的能力。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三、素质目标：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1. 培养学生具有主动参与、积极进取、崇尚科学、探究科学的学习态度和思想意识。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2. 明确学习目标，端正学习态度，培养学习兴趣，认真完成每个学习环节。</w:t>
            </w:r>
          </w:p>
        </w:tc>
        <w:tc>
          <w:tcPr>
            <w:tcW w:w="3185" w:type="dxa"/>
            <w:gridSpan w:val="4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本课程与学生核心能力培养之间的关联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应用数学、基础科学和机械设计制造及其自动化专业知识能力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设计与执行机械设计制造及其自动化专业相关实验，以及分析与解释相关数据的能力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3.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机械工程领域所需技能、技术以及实用软硬件工具的能力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4.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机械工程系统、零部件或工艺流程的设计能力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5.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项目管理、有效沟通协调、团队合作及创新能力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6.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发掘、分析与解决复杂机械工程问题的能力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．认识科技发展现状与趋势，了解工程技术对环境、社会及全球的影响，并培养持续学习的习惯与能力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8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．理解职业道德、专业伦理与认知社会责任的能力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  <w:t>理论教学进程表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477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  <w:t>教学的重点、难点、</w:t>
            </w:r>
            <w:r>
              <w:rPr>
                <w:rFonts w:hint="eastAsia" w:asciiTheme="minorEastAsia" w:hAnsiTheme="minorEastAsia" w:eastAsiaTheme="minorEastAsia"/>
                <w:b/>
                <w:color w:val="FF0000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教学方式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作业安排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TW"/>
              </w:rPr>
              <w:t>2-3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重点回顾</w:t>
            </w:r>
          </w:p>
        </w:tc>
        <w:tc>
          <w:tcPr>
            <w:tcW w:w="623" w:type="dxa"/>
            <w:vAlign w:val="center"/>
          </w:tcPr>
          <w:p>
            <w:pPr>
              <w:spacing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TW"/>
              </w:rPr>
              <w:t>6</w:t>
            </w:r>
          </w:p>
        </w:tc>
        <w:tc>
          <w:tcPr>
            <w:tcW w:w="4777" w:type="dxa"/>
            <w:gridSpan w:val="3"/>
            <w:vAlign w:val="center"/>
          </w:tcPr>
          <w:p>
            <w:pPr>
              <w:spacing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重点：计算器辅助工程操作</w:t>
            </w:r>
          </w:p>
          <w:p>
            <w:pPr>
              <w:spacing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难点：计算器辅助工程的操作</w:t>
            </w:r>
          </w:p>
          <w:p>
            <w:pPr>
              <w:spacing w:line="0" w:lineRule="atLeast"/>
              <w:rPr>
                <w:rFonts w:eastAsia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课程思政融入点</w:t>
            </w:r>
            <w:r>
              <w:rPr>
                <w:rFonts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介绍计算器辅助工程的演变过程，历代伟人的巨大贡献，培养学生的崇尚科学、探究科学学习态度。</w:t>
            </w:r>
          </w:p>
        </w:tc>
        <w:tc>
          <w:tcPr>
            <w:tcW w:w="532" w:type="dxa"/>
            <w:gridSpan w:val="2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讲授</w:t>
            </w:r>
          </w:p>
        </w:tc>
        <w:tc>
          <w:tcPr>
            <w:tcW w:w="1093" w:type="dxa"/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TW"/>
              </w:rPr>
              <w:t>4-5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力学复习</w:t>
            </w:r>
          </w:p>
        </w:tc>
        <w:tc>
          <w:tcPr>
            <w:tcW w:w="623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TW"/>
              </w:rPr>
              <w:t>6</w:t>
            </w:r>
          </w:p>
        </w:tc>
        <w:tc>
          <w:tcPr>
            <w:tcW w:w="4777" w:type="dxa"/>
            <w:gridSpan w:val="3"/>
            <w:vAlign w:val="center"/>
          </w:tcPr>
          <w:p>
            <w:pPr>
              <w:spacing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重点：理论力学与材料力学复习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难点：理论力学与材料力学关键概念厘清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  <w:r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课程思政融入点：复习理论力学与材料力学关键概念，理论推导重点，培养学生的崇尚科学、探究科学学习态度。</w:t>
            </w:r>
          </w:p>
        </w:tc>
        <w:tc>
          <w:tcPr>
            <w:tcW w:w="532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讲授</w:t>
            </w:r>
          </w:p>
        </w:tc>
        <w:tc>
          <w:tcPr>
            <w:tcW w:w="1093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/>
                <w:sz w:val="21"/>
                <w:szCs w:val="21"/>
                <w:lang w:eastAsia="zh-TW"/>
              </w:rPr>
              <w:t>HW-1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TW"/>
              </w:rPr>
              <w:t>6-7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平面应力/应变建模分析</w:t>
            </w:r>
          </w:p>
        </w:tc>
        <w:tc>
          <w:tcPr>
            <w:tcW w:w="623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TW"/>
              </w:rPr>
              <w:t>6</w:t>
            </w:r>
          </w:p>
        </w:tc>
        <w:tc>
          <w:tcPr>
            <w:tcW w:w="4777" w:type="dxa"/>
            <w:gridSpan w:val="3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重点：熟悉 ansys 平面应力/应变分析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难点：掌握ansys建模、分析熟悉度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课程思政融入点：复习理论力学与材料力学关键概念，理论推导重点，培养学生的崇尚科学、探究科学学习态度。</w:t>
            </w:r>
          </w:p>
        </w:tc>
        <w:tc>
          <w:tcPr>
            <w:tcW w:w="532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讲授</w:t>
            </w:r>
          </w:p>
        </w:tc>
        <w:tc>
          <w:tcPr>
            <w:tcW w:w="1093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/>
                <w:sz w:val="21"/>
                <w:szCs w:val="21"/>
                <w:lang w:eastAsia="zh-TW"/>
              </w:rPr>
              <w:t>HW-2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TW"/>
              </w:rPr>
              <w:t>8-9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热力学与热传学</w:t>
            </w:r>
          </w:p>
        </w:tc>
        <w:tc>
          <w:tcPr>
            <w:tcW w:w="623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TW"/>
              </w:rPr>
              <w:t>6</w:t>
            </w:r>
          </w:p>
        </w:tc>
        <w:tc>
          <w:tcPr>
            <w:tcW w:w="4777" w:type="dxa"/>
            <w:gridSpan w:val="3"/>
            <w:vAlign w:val="center"/>
          </w:tcPr>
          <w:p>
            <w:pPr>
              <w:spacing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重点：热力学与热传学講授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难点：热力学与热传学关键概念厘清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课程思政融入点：热力学与热传学关键概念，理论推导重点，培养学生的学习兴趣，认真完成每个学习环节。</w:t>
            </w:r>
          </w:p>
        </w:tc>
        <w:tc>
          <w:tcPr>
            <w:tcW w:w="532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讲授</w:t>
            </w:r>
          </w:p>
        </w:tc>
        <w:tc>
          <w:tcPr>
            <w:tcW w:w="1093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TW"/>
              </w:rPr>
              <w:t>10-11</w:t>
            </w:r>
          </w:p>
        </w:tc>
        <w:tc>
          <w:tcPr>
            <w:tcW w:w="17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散热鳍片设计及分析</w:t>
            </w:r>
          </w:p>
        </w:tc>
        <w:tc>
          <w:tcPr>
            <w:tcW w:w="623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77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重点：使用CAE软件设计散热鳍片与分析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难点：CAE软件散热分析操作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课程思政融入点：指导CAE软件设计散热鳍片与分析手法，溶入热力学与热传学关键概念，培养学生的学习兴趣，认真完成每个学习环节。</w:t>
            </w:r>
          </w:p>
        </w:tc>
        <w:tc>
          <w:tcPr>
            <w:tcW w:w="53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讲授</w:t>
            </w:r>
          </w:p>
        </w:tc>
        <w:tc>
          <w:tcPr>
            <w:tcW w:w="1093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/>
                <w:sz w:val="21"/>
                <w:szCs w:val="21"/>
                <w:lang w:eastAsia="zh-TW"/>
              </w:rPr>
              <w:t>HW-3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TW"/>
              </w:rPr>
              <w:t>12</w:t>
            </w:r>
          </w:p>
        </w:tc>
        <w:tc>
          <w:tcPr>
            <w:tcW w:w="17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结构动力学理论推导</w:t>
            </w:r>
          </w:p>
        </w:tc>
        <w:tc>
          <w:tcPr>
            <w:tcW w:w="623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477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重点：结构动力学理论推导</w:t>
            </w:r>
          </w:p>
          <w:p>
            <w:pPr>
              <w:spacing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难点：高等数学与结构动力学计算熟练度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课程思政融入点：结构动力学理论推导，溶入结构动力学关键概念，培养学生的学习兴趣，认真完成每个学习环节。</w:t>
            </w:r>
          </w:p>
        </w:tc>
        <w:tc>
          <w:tcPr>
            <w:tcW w:w="53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讲授</w:t>
            </w:r>
          </w:p>
        </w:tc>
        <w:tc>
          <w:tcPr>
            <w:tcW w:w="1093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TW"/>
              </w:rPr>
              <w:t>13-14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结构动力案例分析与练习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TW"/>
              </w:rPr>
              <w:t>6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重点：使用CAE软件</w:t>
            </w:r>
            <w:r>
              <w:rPr>
                <w:rFonts w:eastAsia="宋体"/>
                <w:sz w:val="21"/>
                <w:szCs w:val="21"/>
                <w:lang w:eastAsia="zh-TW"/>
              </w:rPr>
              <w:t>分析</w:t>
            </w:r>
            <w:r>
              <w:rPr>
                <w:rFonts w:eastAsia="宋体"/>
                <w:sz w:val="21"/>
                <w:szCs w:val="21"/>
                <w:lang w:eastAsia="zh-CN"/>
              </w:rPr>
              <w:t>结构动力学</w:t>
            </w:r>
            <w:r>
              <w:rPr>
                <w:rFonts w:eastAsia="宋体"/>
                <w:sz w:val="21"/>
                <w:szCs w:val="21"/>
                <w:lang w:eastAsia="zh-TW"/>
              </w:rPr>
              <w:t>案例</w:t>
            </w:r>
          </w:p>
          <w:p>
            <w:pPr>
              <w:spacing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难点：高等数学与结构动力学计算熟练度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课程思政融入点：指导CAE软件分析结构动力学案例，溶入结构动力学关键概念，培养学生的学习兴趣，认真完成每个学习环节。</w:t>
            </w: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讲授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/>
                <w:sz w:val="21"/>
                <w:szCs w:val="21"/>
                <w:lang w:eastAsia="zh-TW"/>
              </w:rPr>
              <w:t>HW-4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7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TW"/>
              </w:rPr>
              <w:t>39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t>实践教学进程表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实践</w:t>
            </w:r>
            <w:r>
              <w:rPr>
                <w:rFonts w:eastAsia="宋体"/>
                <w:b/>
                <w:sz w:val="21"/>
                <w:szCs w:val="21"/>
              </w:rPr>
              <w:t>项目名称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学时</w:t>
            </w:r>
          </w:p>
        </w:tc>
        <w:tc>
          <w:tcPr>
            <w:tcW w:w="321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color w:val="FF0000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项目类型（验证/综合/设计）</w:t>
            </w:r>
          </w:p>
        </w:tc>
        <w:tc>
          <w:tcPr>
            <w:tcW w:w="162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教学</w:t>
            </w:r>
          </w:p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TW"/>
              </w:rPr>
              <w:t>15-17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工程案例实务分析</w:t>
            </w:r>
          </w:p>
        </w:tc>
        <w:tc>
          <w:tcPr>
            <w:tcW w:w="623" w:type="dxa"/>
            <w:vAlign w:val="center"/>
          </w:tcPr>
          <w:p>
            <w:pPr>
              <w:spacing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TW"/>
              </w:rPr>
              <w:t>9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以教授的CAE软件分析手法，针对不同物理领域问题进行案例分析，结构优化，与口头报告</w:t>
            </w:r>
          </w:p>
          <w:p>
            <w:pPr>
              <w:spacing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重点：CAE软件熟悉度，物理问题的边界条件判定</w:t>
            </w:r>
          </w:p>
          <w:p>
            <w:pPr>
              <w:spacing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难点：物理问题的边界条件判定</w:t>
            </w:r>
          </w:p>
          <w:p>
            <w:pPr>
              <w:spacing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思政融入点：提供不同工程案例给同学进行分析，引导学生形成正确的人生观、价值观；要求学生处理分析数据必须坚持实事求实、严谨的科学态度；要求学生实践过程中主动思考理论原理，验证实验原理，使理论与实践相辅相成。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spacing w:line="360" w:lineRule="exact"/>
              <w:rPr>
                <w:rFonts w:eastAsia="宋体"/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分组报告，每组上台进行口头报告，其余同学以提问方式增进对工程案例的熟悉度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28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623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3217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76" w:type="dxa"/>
            <w:gridSpan w:val="3"/>
            <w:vAlign w:val="center"/>
          </w:tcPr>
          <w:p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合计：</w:t>
            </w:r>
          </w:p>
        </w:tc>
        <w:tc>
          <w:tcPr>
            <w:tcW w:w="623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ascii="PMingLiU" w:hAnsi="PMingLiU"/>
                <w:sz w:val="21"/>
                <w:szCs w:val="21"/>
                <w:lang w:eastAsia="zh-TW"/>
              </w:rPr>
              <w:t>9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t>考核</w:t>
            </w:r>
            <w:r>
              <w:rPr>
                <w:rFonts w:eastAsia="宋体"/>
                <w:b/>
                <w:szCs w:val="21"/>
                <w:lang w:eastAsia="zh-CN"/>
              </w:rPr>
              <w:t>方法及标准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考核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到堂情况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迟到、早退、旷课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0" w:lineRule="atLeast"/>
              <w:ind w:left="18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PMingLiU" w:hAnsi="PMingLiU" w:eastAsia="宋体"/>
                <w:sz w:val="21"/>
                <w:szCs w:val="21"/>
                <w:lang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态度、效果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0" w:lineRule="atLeast"/>
              <w:ind w:left="18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PMingLiU" w:hAnsi="PMingLiU" w:eastAsia="宋体"/>
                <w:sz w:val="21"/>
                <w:szCs w:val="21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完成作业及上机情况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次数，质量，是否按时，是否抄袭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0" w:lineRule="atLeast"/>
              <w:ind w:left="18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PMingLiU" w:hAnsi="PMingLiU" w:eastAsia="宋体"/>
                <w:sz w:val="21"/>
                <w:szCs w:val="21"/>
                <w:lang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期中上机考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（按评分标准定）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0" w:lineRule="atLeast"/>
              <w:ind w:left="18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PMingLiU" w:hAnsi="PMingLiU" w:eastAsia="宋体"/>
                <w:sz w:val="21"/>
                <w:szCs w:val="21"/>
                <w:lang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期末报告考核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依报告时间</w:t>
            </w:r>
            <w:r>
              <w:rPr>
                <w:rFonts w:ascii="PMingLiU" w:hAnsi="PMingLiU" w:eastAsia="宋体"/>
                <w:sz w:val="21"/>
                <w:szCs w:val="21"/>
                <w:lang w:eastAsia="zh-CN"/>
              </w:rPr>
              <w:t>(5%)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、内容含量及问题回答</w:t>
            </w:r>
            <w:r>
              <w:rPr>
                <w:rFonts w:ascii="PMingLiU" w:hAnsi="PMingLiU" w:eastAsia="宋体"/>
                <w:sz w:val="21"/>
                <w:szCs w:val="21"/>
                <w:lang w:eastAsia="zh-CN"/>
              </w:rPr>
              <w:t>(15)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、纸本报告表现</w:t>
            </w:r>
            <w:r>
              <w:rPr>
                <w:rFonts w:ascii="PMingLiU" w:hAnsi="PMingLiU" w:eastAsia="宋体"/>
                <w:sz w:val="21"/>
                <w:szCs w:val="21"/>
                <w:lang w:eastAsia="zh-CN"/>
              </w:rPr>
              <w:t>(10)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0" w:lineRule="atLeast"/>
              <w:ind w:left="18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PMingLiU" w:hAnsi="PMingLiU" w:eastAsia="宋体"/>
                <w:sz w:val="21"/>
                <w:szCs w:val="21"/>
                <w:lang w:eastAsia="zh-CN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snapToGrid w:val="0"/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hint="eastAsia" w:ascii="PMingLiU" w:hAnsi="PMingLiU"/>
                <w:b/>
                <w:sz w:val="21"/>
                <w:szCs w:val="21"/>
                <w:lang w:eastAsia="zh-TW"/>
              </w:rPr>
              <w:t>2019.09.09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9401" w:type="dxa"/>
            <w:gridSpan w:val="10"/>
          </w:tcPr>
          <w:p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t>系（部）审查意见：</w:t>
            </w:r>
          </w:p>
          <w:p>
            <w:pPr>
              <w:spacing w:after="0" w:line="360" w:lineRule="exact"/>
              <w:ind w:firstLine="57" w:firstLineChars="2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firstLine="57" w:firstLineChars="2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2123440</wp:posOffset>
                  </wp:positionH>
                  <wp:positionV relativeFrom="paragraph">
                    <wp:posOffset>78105</wp:posOffset>
                  </wp:positionV>
                  <wp:extent cx="1677035" cy="801370"/>
                  <wp:effectExtent l="0" t="0" r="18415" b="17780"/>
                  <wp:wrapNone/>
                  <wp:docPr id="1" name="图片 1" descr="吕杰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吕杰融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035" cy="80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系（部）主任签名：                         日期：      年    月    日</w:t>
            </w:r>
          </w:p>
          <w:p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>
      <w:pPr>
        <w:spacing w:after="0" w:line="360" w:lineRule="exact"/>
        <w:ind w:left="738" w:hanging="738" w:hangingChars="350"/>
        <w:rPr>
          <w:rFonts w:eastAsiaTheme="minorEastAsia"/>
          <w:b/>
          <w:bCs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標楷體">
    <w:altName w:val="宋体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CIDFont + F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3799B"/>
    <w:rsid w:val="00001AFD"/>
    <w:rsid w:val="000041EE"/>
    <w:rsid w:val="00057CB9"/>
    <w:rsid w:val="00061F27"/>
    <w:rsid w:val="0006698D"/>
    <w:rsid w:val="00074B8E"/>
    <w:rsid w:val="00087B74"/>
    <w:rsid w:val="000B626E"/>
    <w:rsid w:val="000C2D4A"/>
    <w:rsid w:val="000E0AE8"/>
    <w:rsid w:val="00113022"/>
    <w:rsid w:val="00155E5A"/>
    <w:rsid w:val="00171228"/>
    <w:rsid w:val="001B31E9"/>
    <w:rsid w:val="001D28E8"/>
    <w:rsid w:val="001F20BC"/>
    <w:rsid w:val="002111AE"/>
    <w:rsid w:val="00227119"/>
    <w:rsid w:val="00295970"/>
    <w:rsid w:val="002C0D8F"/>
    <w:rsid w:val="002D2991"/>
    <w:rsid w:val="002D47F9"/>
    <w:rsid w:val="002E27E1"/>
    <w:rsid w:val="003044FA"/>
    <w:rsid w:val="003403E2"/>
    <w:rsid w:val="0037561C"/>
    <w:rsid w:val="003C66D8"/>
    <w:rsid w:val="003E2BAB"/>
    <w:rsid w:val="003E66A6"/>
    <w:rsid w:val="00414FC8"/>
    <w:rsid w:val="004506F2"/>
    <w:rsid w:val="00457E42"/>
    <w:rsid w:val="004B3994"/>
    <w:rsid w:val="004B7C67"/>
    <w:rsid w:val="004D29DE"/>
    <w:rsid w:val="004E0481"/>
    <w:rsid w:val="004E7804"/>
    <w:rsid w:val="005333B5"/>
    <w:rsid w:val="005639AB"/>
    <w:rsid w:val="00567D85"/>
    <w:rsid w:val="005805E8"/>
    <w:rsid w:val="005911D3"/>
    <w:rsid w:val="005B10C8"/>
    <w:rsid w:val="005B124E"/>
    <w:rsid w:val="005F174F"/>
    <w:rsid w:val="005F559E"/>
    <w:rsid w:val="00631FA7"/>
    <w:rsid w:val="0063410F"/>
    <w:rsid w:val="006359E4"/>
    <w:rsid w:val="006544A1"/>
    <w:rsid w:val="0065651C"/>
    <w:rsid w:val="00670375"/>
    <w:rsid w:val="006E1924"/>
    <w:rsid w:val="0072441C"/>
    <w:rsid w:val="00733AFF"/>
    <w:rsid w:val="00735FDE"/>
    <w:rsid w:val="00736FE5"/>
    <w:rsid w:val="00770F0D"/>
    <w:rsid w:val="00776AF2"/>
    <w:rsid w:val="00781F41"/>
    <w:rsid w:val="00785779"/>
    <w:rsid w:val="0079322F"/>
    <w:rsid w:val="007958A3"/>
    <w:rsid w:val="007A154B"/>
    <w:rsid w:val="008147FF"/>
    <w:rsid w:val="00815F78"/>
    <w:rsid w:val="00825F98"/>
    <w:rsid w:val="00837BA5"/>
    <w:rsid w:val="008512DF"/>
    <w:rsid w:val="00855020"/>
    <w:rsid w:val="00885EED"/>
    <w:rsid w:val="00892ADC"/>
    <w:rsid w:val="00896971"/>
    <w:rsid w:val="008B4200"/>
    <w:rsid w:val="008F6642"/>
    <w:rsid w:val="00907E3A"/>
    <w:rsid w:val="00917C66"/>
    <w:rsid w:val="00930C61"/>
    <w:rsid w:val="009349EE"/>
    <w:rsid w:val="0095266C"/>
    <w:rsid w:val="009728B6"/>
    <w:rsid w:val="009A2B5C"/>
    <w:rsid w:val="009B3EAE"/>
    <w:rsid w:val="009C3354"/>
    <w:rsid w:val="009D3079"/>
    <w:rsid w:val="009F076F"/>
    <w:rsid w:val="009F7907"/>
    <w:rsid w:val="00A41C45"/>
    <w:rsid w:val="00A84D68"/>
    <w:rsid w:val="00A85774"/>
    <w:rsid w:val="00AA199F"/>
    <w:rsid w:val="00AB00C2"/>
    <w:rsid w:val="00AD3447"/>
    <w:rsid w:val="00AE48DD"/>
    <w:rsid w:val="00AF342D"/>
    <w:rsid w:val="00B05FEC"/>
    <w:rsid w:val="00B33509"/>
    <w:rsid w:val="00B65E78"/>
    <w:rsid w:val="00BB35F5"/>
    <w:rsid w:val="00C06D81"/>
    <w:rsid w:val="00C363EA"/>
    <w:rsid w:val="00C41D05"/>
    <w:rsid w:val="00C479CB"/>
    <w:rsid w:val="00C705DD"/>
    <w:rsid w:val="00C76FA2"/>
    <w:rsid w:val="00CA1AB8"/>
    <w:rsid w:val="00CC4A46"/>
    <w:rsid w:val="00CD0814"/>
    <w:rsid w:val="00CD2F8F"/>
    <w:rsid w:val="00D268B2"/>
    <w:rsid w:val="00D45246"/>
    <w:rsid w:val="00D62B41"/>
    <w:rsid w:val="00DB45CF"/>
    <w:rsid w:val="00DB5724"/>
    <w:rsid w:val="00DC454E"/>
    <w:rsid w:val="00DF06BF"/>
    <w:rsid w:val="00DF5733"/>
    <w:rsid w:val="00DF5C03"/>
    <w:rsid w:val="00E0505F"/>
    <w:rsid w:val="00E27C07"/>
    <w:rsid w:val="00E413E8"/>
    <w:rsid w:val="00E53E23"/>
    <w:rsid w:val="00EC2295"/>
    <w:rsid w:val="00ED3FCA"/>
    <w:rsid w:val="00F138D8"/>
    <w:rsid w:val="00F31667"/>
    <w:rsid w:val="00F617C2"/>
    <w:rsid w:val="00F641FD"/>
    <w:rsid w:val="00F96D96"/>
    <w:rsid w:val="00FA0724"/>
    <w:rsid w:val="00FE048F"/>
    <w:rsid w:val="00FE22C8"/>
    <w:rsid w:val="00FE5E7F"/>
    <w:rsid w:val="28AD1D92"/>
    <w:rsid w:val="2C23799B"/>
    <w:rsid w:val="62602DFF"/>
    <w:rsid w:val="7F4B04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/>
      <w:jc w:val="both"/>
    </w:pPr>
    <w:rPr>
      <w:rFonts w:ascii="Times New Roman" w:hAnsi="Times New Roman" w:eastAsia="PMingLiU" w:cs="Times New Roman"/>
      <w:sz w:val="24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iPriority w:val="0"/>
    <w:pPr>
      <w:spacing w:after="0"/>
    </w:pPr>
    <w:rPr>
      <w:sz w:val="18"/>
      <w:szCs w:val="18"/>
    </w:rPr>
  </w:style>
  <w:style w:type="paragraph" w:styleId="3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列出段落1"/>
    <w:basedOn w:val="1"/>
    <w:qFormat/>
    <w:uiPriority w:val="34"/>
    <w:pPr>
      <w:widowControl w:val="0"/>
      <w:spacing w:after="0"/>
      <w:ind w:left="480" w:leftChars="200"/>
      <w:jc w:val="left"/>
    </w:pPr>
    <w:rPr>
      <w:rFonts w:ascii="Calibri" w:hAnsi="Calibri" w:eastAsia="標楷體"/>
      <w:kern w:val="2"/>
      <w:lang w:eastAsia="zh-TW"/>
    </w:rPr>
  </w:style>
  <w:style w:type="character" w:customStyle="1" w:styleId="11">
    <w:name w:val="fontstyle01"/>
    <w:basedOn w:val="7"/>
    <w:qFormat/>
    <w:uiPriority w:val="0"/>
    <w:rPr>
      <w:rFonts w:ascii="CIDFont + F2" w:hAnsi="CIDFont + F2" w:eastAsia="CIDFont + F2" w:cs="CIDFont + F2"/>
      <w:color w:val="000000"/>
      <w:sz w:val="20"/>
      <w:szCs w:val="20"/>
    </w:rPr>
  </w:style>
  <w:style w:type="character" w:customStyle="1" w:styleId="12">
    <w:name w:val="頁首 字元"/>
    <w:basedOn w:val="7"/>
    <w:link w:val="4"/>
    <w:uiPriority w:val="0"/>
    <w:rPr>
      <w:rFonts w:eastAsia="PMingLiU"/>
      <w:sz w:val="18"/>
      <w:szCs w:val="18"/>
      <w:lang w:eastAsia="en-US"/>
    </w:rPr>
  </w:style>
  <w:style w:type="character" w:customStyle="1" w:styleId="13">
    <w:name w:val="頁尾 字元"/>
    <w:basedOn w:val="7"/>
    <w:link w:val="3"/>
    <w:uiPriority w:val="0"/>
    <w:rPr>
      <w:rFonts w:eastAsia="PMingLiU"/>
      <w:sz w:val="18"/>
      <w:szCs w:val="18"/>
      <w:lang w:eastAsia="en-US"/>
    </w:rPr>
  </w:style>
  <w:style w:type="paragraph" w:styleId="14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5">
    <w:name w:val="註解方塊文字 字元"/>
    <w:basedOn w:val="7"/>
    <w:link w:val="2"/>
    <w:uiPriority w:val="0"/>
    <w:rPr>
      <w:rFonts w:eastAsia="PMingLiU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2DEA90-23AA-40C8-AC1C-15ED169D1D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384</Words>
  <Characters>2192</Characters>
  <Lines>18</Lines>
  <Paragraphs>5</Paragraphs>
  <TotalTime>0</TotalTime>
  <ScaleCrop>false</ScaleCrop>
  <LinksUpToDate>false</LinksUpToDate>
  <CharactersWithSpaces>2571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2019-09-07T14:18:00Z</dcterms:created>
  <dc:creator>lenovo</dc:creator>
  <cp:lastModifiedBy>落情湖</cp:lastModifiedBy>
  <cp:lastPrinted>2017-01-05T16:24:00Z</cp:lastPrinted>
  <dcterms:modified xsi:type="dcterms:W3CDTF">2019-09-27T03:10:36Z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