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b/>
          <w:sz w:val="32"/>
          <w:szCs w:val="32"/>
          <w:lang w:eastAsia="zh-CN"/>
        </w:rPr>
        <w:t>《</w:t>
      </w:r>
      <w:r>
        <w:rPr>
          <w:rFonts w:hint="eastAsia" w:eastAsia="宋体"/>
          <w:b/>
          <w:sz w:val="32"/>
          <w:szCs w:val="32"/>
          <w:lang w:eastAsia="zh-CN"/>
        </w:rPr>
        <w:t>工程管理</w:t>
      </w:r>
      <w:r>
        <w:rPr>
          <w:b/>
          <w:sz w:val="32"/>
          <w:szCs w:val="32"/>
          <w:lang w:eastAsia="zh-CN"/>
        </w:rPr>
        <w:t>》教学大纲</w:t>
      </w:r>
    </w:p>
    <w:tbl>
      <w:tblPr>
        <w:tblStyle w:val="5"/>
        <w:tblW w:w="8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57"/>
        <w:gridCol w:w="367"/>
        <w:gridCol w:w="429"/>
        <w:gridCol w:w="1331"/>
        <w:gridCol w:w="1250"/>
        <w:gridCol w:w="1022"/>
        <w:gridCol w:w="262"/>
        <w:gridCol w:w="52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736" w:type="dxa"/>
            <w:gridSpan w:val="5"/>
            <w:vAlign w:val="center"/>
          </w:tcPr>
          <w:p>
            <w:pPr>
              <w:tabs>
                <w:tab w:val="left" w:pos="1440"/>
              </w:tabs>
              <w:spacing w:after="0" w:line="360" w:lineRule="exact"/>
              <w:outlineLvl w:val="0"/>
              <w:rPr>
                <w:rFonts w:ascii="宋体" w:hAnsi="宋体" w:eastAsia="宋体" w:cs="宋体"/>
                <w:sz w:val="21"/>
                <w:szCs w:val="21"/>
                <w:lang w:eastAsia="zh-CN"/>
              </w:rPr>
            </w:pPr>
            <w:r>
              <w:rPr>
                <w:rFonts w:eastAsia="宋体"/>
                <w:b/>
                <w:sz w:val="21"/>
                <w:szCs w:val="21"/>
                <w:lang w:eastAsia="zh-CN"/>
              </w:rPr>
              <w:t>课程名称：</w:t>
            </w:r>
            <w:r>
              <w:rPr>
                <w:rFonts w:hint="eastAsia" w:eastAsia="宋体"/>
                <w:b/>
                <w:sz w:val="21"/>
                <w:szCs w:val="21"/>
                <w:lang w:eastAsia="zh-CN"/>
              </w:rPr>
              <w:t>工程管理</w:t>
            </w:r>
          </w:p>
        </w:tc>
        <w:tc>
          <w:tcPr>
            <w:tcW w:w="432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hint="eastAsia" w:eastAsia="宋体"/>
                <w:b/>
                <w:sz w:val="21"/>
                <w:szCs w:val="21"/>
                <w:lang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rPr>
              <w:t>课程英文名称：Project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736"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rPr>
              <w:t>总学时/周学时/学分：</w:t>
            </w:r>
            <w:r>
              <w:rPr>
                <w:rFonts w:hint="eastAsia" w:eastAsia="宋体"/>
                <w:b/>
                <w:sz w:val="21"/>
                <w:szCs w:val="21"/>
              </w:rPr>
              <w:t>54/3/3</w:t>
            </w:r>
          </w:p>
        </w:tc>
        <w:tc>
          <w:tcPr>
            <w:tcW w:w="432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其中实验/实践学时：</w:t>
            </w:r>
            <w:r>
              <w:rPr>
                <w:rFonts w:hint="eastAsia" w:eastAsia="宋体"/>
                <w:b/>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b/>
                <w:sz w:val="21"/>
                <w:szCs w:val="21"/>
                <w:lang w:eastAsia="zh-CN"/>
              </w:rPr>
            </w:pPr>
            <w:r>
              <w:rPr>
                <w:rFonts w:eastAsia="宋体"/>
                <w:b/>
                <w:sz w:val="21"/>
                <w:szCs w:val="21"/>
                <w:lang w:eastAsia="zh-CN"/>
              </w:rPr>
              <w:t>先修课程：</w:t>
            </w:r>
            <w:r>
              <w:rPr>
                <w:rFonts w:hint="eastAsia" w:ascii="PMingLiU" w:hAnsi="PMingLiU"/>
                <w:b/>
                <w:sz w:val="21"/>
                <w:szCs w:val="21"/>
                <w:lang w:eastAsia="zh-CN"/>
              </w:rPr>
              <w:t>电子商业概论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736" w:type="dxa"/>
            <w:gridSpan w:val="5"/>
            <w:vAlign w:val="center"/>
          </w:tcPr>
          <w:p>
            <w:pPr>
              <w:tabs>
                <w:tab w:val="left" w:pos="1440"/>
              </w:tabs>
              <w:spacing w:after="0" w:line="360" w:lineRule="exact"/>
              <w:outlineLvl w:val="0"/>
              <w:rPr>
                <w:rFonts w:eastAsia="宋体"/>
                <w:sz w:val="21"/>
                <w:szCs w:val="21"/>
                <w:lang w:eastAsia="zh-CN"/>
              </w:rPr>
            </w:pPr>
            <w:r>
              <w:rPr>
                <w:rFonts w:hint="eastAsia" w:eastAsia="宋体"/>
                <w:b/>
                <w:sz w:val="21"/>
                <w:szCs w:val="21"/>
                <w:lang w:eastAsia="zh-CN"/>
              </w:rPr>
              <w:t>授课时间：</w:t>
            </w:r>
            <w:r>
              <w:rPr>
                <w:rFonts w:eastAsia="宋体"/>
                <w:b/>
                <w:sz w:val="21"/>
                <w:szCs w:val="21"/>
                <w:lang w:eastAsia="zh-CN"/>
              </w:rPr>
              <w:t>1</w:t>
            </w:r>
            <w:r>
              <w:rPr>
                <w:rFonts w:hint="eastAsia" w:eastAsia="宋体"/>
                <w:b/>
                <w:sz w:val="21"/>
                <w:szCs w:val="21"/>
                <w:lang w:eastAsia="zh-CN"/>
              </w:rPr>
              <w:t>至</w:t>
            </w:r>
            <w:r>
              <w:rPr>
                <w:rFonts w:eastAsia="宋体"/>
                <w:b/>
                <w:sz w:val="21"/>
                <w:szCs w:val="21"/>
                <w:lang w:eastAsia="zh-CN"/>
              </w:rPr>
              <w:t>16</w:t>
            </w:r>
            <w:r>
              <w:rPr>
                <w:rFonts w:hint="eastAsia" w:eastAsia="宋体"/>
                <w:b/>
                <w:sz w:val="21"/>
                <w:szCs w:val="21"/>
                <w:lang w:eastAsia="zh-CN"/>
              </w:rPr>
              <w:t>周，周三</w:t>
            </w:r>
            <w:r>
              <w:rPr>
                <w:rFonts w:eastAsia="宋体"/>
                <w:b/>
                <w:sz w:val="21"/>
                <w:szCs w:val="21"/>
                <w:lang w:eastAsia="zh-CN"/>
              </w:rPr>
              <w:t xml:space="preserve"> 1-3</w:t>
            </w:r>
            <w:r>
              <w:rPr>
                <w:rFonts w:hint="eastAsia" w:eastAsia="宋体"/>
                <w:b/>
                <w:sz w:val="21"/>
                <w:szCs w:val="21"/>
                <w:lang w:eastAsia="zh-CN"/>
              </w:rPr>
              <w:t>节</w:t>
            </w:r>
          </w:p>
        </w:tc>
        <w:tc>
          <w:tcPr>
            <w:tcW w:w="4329" w:type="dxa"/>
            <w:gridSpan w:val="5"/>
            <w:vAlign w:val="center"/>
          </w:tcPr>
          <w:p>
            <w:pPr>
              <w:tabs>
                <w:tab w:val="left" w:pos="1440"/>
              </w:tabs>
              <w:spacing w:after="0" w:line="360" w:lineRule="exact"/>
              <w:outlineLvl w:val="0"/>
              <w:rPr>
                <w:rFonts w:eastAsia="宋体"/>
                <w:sz w:val="21"/>
                <w:szCs w:val="21"/>
                <w:lang w:eastAsia="zh-CN"/>
              </w:rPr>
            </w:pPr>
            <w:r>
              <w:rPr>
                <w:rFonts w:hint="eastAsia" w:eastAsia="宋体"/>
                <w:b/>
                <w:sz w:val="21"/>
                <w:szCs w:val="21"/>
                <w:lang w:eastAsia="zh-CN"/>
              </w:rPr>
              <w:t>授课地点：莞城校区</w:t>
            </w:r>
            <w:r>
              <w:rPr>
                <w:rFonts w:eastAsia="宋体"/>
                <w:b/>
                <w:sz w:val="21"/>
                <w:szCs w:val="21"/>
                <w:lang w:eastAsia="zh-CN"/>
              </w:rPr>
              <w:t>6</w:t>
            </w:r>
            <w:r>
              <w:rPr>
                <w:rFonts w:hint="eastAsia" w:eastAsia="宋体"/>
                <w:b/>
                <w:sz w:val="21"/>
                <w:szCs w:val="21"/>
                <w:lang w:eastAsia="zh-CN"/>
              </w:rPr>
              <w:t>号楼</w:t>
            </w:r>
            <w:r>
              <w:rPr>
                <w:rFonts w:eastAsia="宋体"/>
                <w:b/>
                <w:sz w:val="21"/>
                <w:szCs w:val="21"/>
                <w:lang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b/>
                <w:color w:val="FF0000"/>
                <w:sz w:val="21"/>
                <w:szCs w:val="21"/>
                <w:lang w:eastAsia="zh-CN"/>
              </w:rPr>
            </w:pPr>
            <w:r>
              <w:rPr>
                <w:rFonts w:eastAsia="宋体"/>
                <w:b/>
                <w:sz w:val="21"/>
                <w:szCs w:val="21"/>
                <w:lang w:eastAsia="zh-CN"/>
              </w:rPr>
              <w:t>授课对象：</w:t>
            </w:r>
            <w:r>
              <w:rPr>
                <w:rFonts w:hint="eastAsia" w:eastAsia="宋体"/>
                <w:b/>
                <w:sz w:val="21"/>
                <w:szCs w:val="21"/>
                <w:lang w:eastAsia="zh-CN"/>
              </w:rPr>
              <w:t>18级机械设计制造及其自动化1班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hint="eastAsia" w:eastAsia="宋体"/>
                <w:b/>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eastAsia="宋体"/>
                <w:b/>
                <w:sz w:val="21"/>
                <w:szCs w:val="21"/>
                <w:lang w:eastAsia="zh-CN"/>
              </w:rPr>
              <w:t>陈尚彦副教授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hint="eastAsia" w:ascii="PMingLiU" w:hAnsi="PMingLiU" w:eastAsia="宋体"/>
                <w:b/>
                <w:sz w:val="21"/>
                <w:szCs w:val="21"/>
                <w:lang w:eastAsia="zh-CN"/>
              </w:rPr>
              <w:t>莞城校区实验楼</w:t>
            </w:r>
            <w:r>
              <w:rPr>
                <w:rFonts w:ascii="PMingLiU" w:hAnsi="PMingLiU" w:eastAsia="宋体"/>
                <w:b/>
                <w:sz w:val="21"/>
                <w:szCs w:val="21"/>
                <w:lang w:eastAsia="zh-CN"/>
              </w:rPr>
              <w:t>212</w:t>
            </w:r>
            <w:r>
              <w:rPr>
                <w:rFonts w:hint="eastAsia" w:ascii="PMingLiU" w:hAnsi="PMingLiU" w:eastAsia="宋体"/>
                <w:b/>
                <w:sz w:val="21"/>
                <w:szCs w:val="21"/>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   ）</w:t>
            </w:r>
            <w:r>
              <w:rPr>
                <w:rFonts w:eastAsia="宋体"/>
                <w:sz w:val="21"/>
                <w:szCs w:val="21"/>
                <w:lang w:eastAsia="zh-CN"/>
              </w:rPr>
              <w:t xml:space="preserve">     闭卷</w:t>
            </w:r>
            <w:r>
              <w:rPr>
                <w:rFonts w:eastAsia="宋体"/>
                <w:b/>
                <w:sz w:val="21"/>
                <w:szCs w:val="21"/>
                <w:lang w:eastAsia="zh-CN"/>
              </w:rPr>
              <w:t>（</w:t>
            </w:r>
            <w:r>
              <w:rPr>
                <w:rFonts w:hint="eastAsia" w:ascii="PMingLiU" w:hAnsi="PMingLiU"/>
                <w:b/>
                <w:sz w:val="21"/>
                <w:szCs w:val="21"/>
                <w:lang w:eastAsia="zh-CN"/>
              </w:rPr>
              <w:t xml:space="preserve">   </w:t>
            </w:r>
            <w:r>
              <w:rPr>
                <w:rFonts w:eastAsia="宋体"/>
                <w:b/>
                <w:sz w:val="21"/>
                <w:szCs w:val="21"/>
                <w:lang w:eastAsia="zh-CN"/>
              </w:rPr>
              <w:t xml:space="preserve">）   </w:t>
            </w:r>
            <w:r>
              <w:rPr>
                <w:rFonts w:eastAsia="宋体"/>
                <w:sz w:val="21"/>
                <w:szCs w:val="21"/>
                <w:lang w:eastAsia="zh-CN"/>
              </w:rPr>
              <w:t>课程论文</w:t>
            </w:r>
            <w:r>
              <w:rPr>
                <w:rFonts w:eastAsia="宋体"/>
                <w:b/>
                <w:sz w:val="21"/>
                <w:szCs w:val="21"/>
                <w:lang w:eastAsia="zh-CN"/>
              </w:rPr>
              <w:t>（</w:t>
            </w:r>
            <w:r>
              <w:rPr>
                <w:rFonts w:eastAsiaTheme="minorEastAsia"/>
                <w:b/>
                <w:bCs/>
                <w:sz w:val="21"/>
                <w:szCs w:val="21"/>
                <w:lang w:eastAsia="zh-CN"/>
              </w:rPr>
              <w:sym w:font="Wingdings 2" w:char="F050"/>
            </w:r>
            <w:r>
              <w:rPr>
                <w:rFonts w:eastAsia="宋体"/>
                <w:b/>
                <w:sz w:val="21"/>
                <w:szCs w:val="21"/>
                <w:lang w:eastAsia="zh-CN"/>
              </w:rPr>
              <w:t xml:space="preserve">）   </w:t>
            </w:r>
            <w:r>
              <w:rPr>
                <w:rFonts w:eastAsia="宋体"/>
                <w:sz w:val="21"/>
                <w:szCs w:val="21"/>
                <w:lang w:eastAsia="zh-CN"/>
              </w:rPr>
              <w:t>其它</w:t>
            </w:r>
            <w:r>
              <w:rPr>
                <w:rFonts w:eastAsia="宋体"/>
                <w:b/>
                <w:sz w:val="21"/>
                <w:szCs w:val="21"/>
                <w:lang w:eastAsia="zh-CN"/>
              </w:rPr>
              <w:t>（</w:t>
            </w:r>
            <w:r>
              <w:rPr>
                <w:rFonts w:hint="eastAsia" w:eastAsia="宋体"/>
                <w:b/>
                <w:sz w:val="21"/>
                <w:szCs w:val="21"/>
                <w:lang w:eastAsia="zh-CN"/>
              </w:rPr>
              <w:t xml:space="preserve">   </w:t>
            </w:r>
            <w:r>
              <w:rPr>
                <w:rFonts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使用教材：</w:t>
            </w:r>
            <w:r>
              <w:rPr>
                <w:rFonts w:hint="eastAsia" w:eastAsia="宋体"/>
                <w:b/>
                <w:bCs/>
                <w:sz w:val="21"/>
                <w:szCs w:val="21"/>
                <w:lang w:eastAsia="zh-CN"/>
              </w:rPr>
              <w:t>《供应链物流管理》，唐纳德 J.鲍尔索克斯、戴维 J.克劳斯、M.比克斯比 库珀、约翰 C.鲍尔索克斯著，马士华 张慧玉等译，机械工业出版社，2016年6月。</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教学参考资料：</w:t>
            </w:r>
            <w:r>
              <w:rPr>
                <w:rFonts w:hint="eastAsia" w:eastAsia="宋体"/>
                <w:b/>
                <w:bCs/>
                <w:sz w:val="21"/>
                <w:szCs w:val="21"/>
                <w:lang w:eastAsia="zh-CN"/>
              </w:rPr>
              <w:t>《物料管理》，梁添富, 全华图书, 2013年1月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课程简介：</w:t>
            </w:r>
            <w:r>
              <w:rPr>
                <w:rFonts w:hint="eastAsia" w:eastAsia="宋体"/>
                <w:b/>
                <w:sz w:val="21"/>
                <w:szCs w:val="21"/>
                <w:lang w:eastAsia="zh-CN"/>
              </w:rPr>
              <w:t xml:space="preserve">工程管理是生产作业可视为将投入(input)经转化变成产出(output)的整个过程，生产系统则指由投入转化成产出的活动中所需具备的硬件与软件设施，为使转化过程中的各项活动顺利进行，事先必须经过周详的规划的整个过程,本课程从企业导入MRPI、MRPII到物料管理与SCM的全过程进行详细的介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4986" w:type="dxa"/>
            <w:gridSpan w:val="6"/>
          </w:tcPr>
          <w:p>
            <w:pPr>
              <w:tabs>
                <w:tab w:val="left" w:pos="1440"/>
              </w:tabs>
              <w:spacing w:line="360" w:lineRule="exact"/>
              <w:outlineLvl w:val="0"/>
              <w:rPr>
                <w:b/>
                <w:szCs w:val="21"/>
                <w:lang w:eastAsia="zh-CN"/>
              </w:rPr>
            </w:pPr>
            <w:r>
              <w:rPr>
                <w:rFonts w:eastAsia="宋体"/>
                <w:b/>
                <w:sz w:val="21"/>
                <w:szCs w:val="21"/>
                <w:lang w:eastAsia="zh-CN"/>
              </w:rPr>
              <w:t>课程教学目标</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一、知识目标：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通过本课程的学习，使学生掌握生产力是衡量一生产系统之绩效(performance)的重要指标，生产管理者应随时检讨其生产力的增减，并采取适当的因应对策的基本概念，了解公司策略规划是企业为了达成其企业目标与经营使命，在考虑公司外部环境（如政治、市场、技术等）及内部资源等因素之后，再奠基于适合其企业的各项功能性策略之上（如:生产、财务、营销等策略）所形成的一整体性策略等问题。</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二、能力目标：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在学习企业所面临的挑战，提升如下学生能力目标：</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 xml:space="preserve">1.须加快新产品的引进速度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 xml:space="preserve">2.须使得生产系统具备弹性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 xml:space="preserve">3.须学习生产系统的管理知识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 xml:space="preserve">4.须能有效采用新科技以强化整体生产力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 xml:space="preserve">5.须能快速提升组织的整体营运质量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6.须能管理多元化的员工成为小区及地球村的良好公民的学习观和方法论。</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三、素质目标：</w:t>
            </w:r>
          </w:p>
          <w:p>
            <w:pPr>
              <w:tabs>
                <w:tab w:val="left" w:pos="1440"/>
              </w:tabs>
              <w:spacing w:after="0" w:line="360" w:lineRule="exact"/>
              <w:ind w:firstLine="422" w:firstLineChars="200"/>
              <w:outlineLvl w:val="0"/>
              <w:rPr>
                <w:rFonts w:eastAsia="宋体"/>
                <w:b/>
                <w:sz w:val="21"/>
                <w:szCs w:val="21"/>
                <w:lang w:eastAsia="zh-CN"/>
              </w:rPr>
            </w:pPr>
            <w:r>
              <w:rPr>
                <w:rFonts w:eastAsia="宋体"/>
                <w:b/>
                <w:sz w:val="21"/>
                <w:szCs w:val="21"/>
                <w:lang w:eastAsia="zh-CN"/>
              </w:rPr>
              <w:t xml:space="preserve">1. </w:t>
            </w:r>
            <w:r>
              <w:rPr>
                <w:rFonts w:hint="eastAsia" w:eastAsia="宋体"/>
                <w:b/>
                <w:sz w:val="21"/>
                <w:szCs w:val="21"/>
                <w:lang w:eastAsia="zh-CN"/>
              </w:rPr>
              <w:t>培养学生具有主动参与、积极进取、崇尚科学、探究科学的学习态度和思想意识；</w:t>
            </w:r>
          </w:p>
          <w:p>
            <w:pPr>
              <w:tabs>
                <w:tab w:val="left" w:pos="1440"/>
              </w:tabs>
              <w:spacing w:after="0" w:line="360" w:lineRule="exact"/>
              <w:ind w:firstLine="422" w:firstLineChars="200"/>
              <w:outlineLvl w:val="0"/>
              <w:rPr>
                <w:rFonts w:eastAsia="宋体"/>
                <w:sz w:val="21"/>
                <w:szCs w:val="21"/>
                <w:lang w:eastAsia="zh-CN"/>
              </w:rPr>
            </w:pPr>
            <w:r>
              <w:rPr>
                <w:rFonts w:eastAsia="宋体"/>
                <w:b/>
                <w:sz w:val="21"/>
                <w:szCs w:val="21"/>
                <w:lang w:eastAsia="zh-CN"/>
              </w:rPr>
              <w:t xml:space="preserve">2. </w:t>
            </w:r>
            <w:r>
              <w:rPr>
                <w:rFonts w:hint="eastAsia" w:eastAsia="宋体"/>
                <w:b/>
                <w:sz w:val="21"/>
                <w:szCs w:val="21"/>
                <w:lang w:eastAsia="zh-CN"/>
              </w:rPr>
              <w:t>养成理论联系实际、科学严谨、认真细致、实事求是的科学态度和职业道德。</w:t>
            </w:r>
          </w:p>
        </w:tc>
        <w:tc>
          <w:tcPr>
            <w:tcW w:w="3079" w:type="dxa"/>
            <w:gridSpan w:val="4"/>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本课程与学生核心能力培养之间的关联</w:t>
            </w:r>
            <w:r>
              <w:rPr>
                <w:rFonts w:eastAsia="宋体"/>
                <w:b/>
                <w:sz w:val="21"/>
                <w:szCs w:val="21"/>
                <w:lang w:eastAsia="zh-CN"/>
              </w:rPr>
              <w:t>(</w:t>
            </w:r>
            <w:r>
              <w:rPr>
                <w:rFonts w:hint="eastAsia" w:eastAsia="宋体"/>
                <w:b/>
                <w:sz w:val="21"/>
                <w:szCs w:val="21"/>
                <w:lang w:eastAsia="zh-CN"/>
              </w:rPr>
              <w:t>授课对象为理工科专业学生的课程填写此栏）：</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□核心能力</w:t>
            </w:r>
            <w:r>
              <w:rPr>
                <w:rFonts w:eastAsia="宋体"/>
                <w:b/>
                <w:sz w:val="21"/>
                <w:szCs w:val="21"/>
                <w:lang w:eastAsia="zh-CN"/>
              </w:rPr>
              <w:t xml:space="preserve">1. </w:t>
            </w:r>
            <w:r>
              <w:rPr>
                <w:rFonts w:hint="eastAsia" w:eastAsia="宋体"/>
                <w:b/>
                <w:sz w:val="21"/>
                <w:szCs w:val="21"/>
                <w:lang w:eastAsia="zh-CN"/>
              </w:rPr>
              <w:t>应用数学、基础科学和机械设计制造及其自动化专业知识能力</w:t>
            </w:r>
          </w:p>
          <w:p>
            <w:pPr>
              <w:tabs>
                <w:tab w:val="left" w:pos="1440"/>
              </w:tabs>
              <w:spacing w:after="0" w:line="360" w:lineRule="exact"/>
              <w:outlineLvl w:val="0"/>
              <w:rPr>
                <w:rFonts w:eastAsia="宋体"/>
                <w:b/>
                <w:sz w:val="21"/>
                <w:szCs w:val="21"/>
                <w:lang w:eastAsia="zh-CN"/>
              </w:rPr>
            </w:pPr>
            <w:r>
              <w:rPr>
                <w:rFonts w:ascii="Segoe UI Emoji" w:hAnsi="Segoe UI Emoji" w:eastAsia="Segoe UI Emoji" w:cs="Segoe UI Emoji"/>
                <w:b/>
                <w:sz w:val="21"/>
                <w:szCs w:val="21"/>
                <w:lang w:eastAsia="zh-CN"/>
              </w:rPr>
              <w:t>■</w:t>
            </w:r>
            <w:r>
              <w:rPr>
                <w:rFonts w:hint="eastAsia" w:eastAsia="宋体"/>
                <w:b/>
                <w:sz w:val="21"/>
                <w:szCs w:val="21"/>
                <w:lang w:eastAsia="zh-CN"/>
              </w:rPr>
              <w:t>核心能力</w:t>
            </w:r>
            <w:r>
              <w:rPr>
                <w:rFonts w:eastAsia="宋体"/>
                <w:b/>
                <w:sz w:val="21"/>
                <w:szCs w:val="21"/>
                <w:lang w:eastAsia="zh-CN"/>
              </w:rPr>
              <w:t xml:space="preserve">2. </w:t>
            </w:r>
            <w:r>
              <w:rPr>
                <w:rFonts w:hint="eastAsia" w:eastAsia="宋体"/>
                <w:b/>
                <w:sz w:val="21"/>
                <w:szCs w:val="21"/>
                <w:lang w:eastAsia="zh-CN"/>
              </w:rPr>
              <w:t>设计与执行机械设计制造及其自动化专业相关实验，以及分析与解释相关数据的能力</w:t>
            </w:r>
          </w:p>
          <w:p>
            <w:pPr>
              <w:tabs>
                <w:tab w:val="left" w:pos="1440"/>
              </w:tabs>
              <w:spacing w:after="0" w:line="360" w:lineRule="exact"/>
              <w:outlineLvl w:val="0"/>
              <w:rPr>
                <w:rFonts w:eastAsia="宋体"/>
                <w:b/>
                <w:sz w:val="21"/>
                <w:szCs w:val="21"/>
                <w:lang w:eastAsia="zh-CN"/>
              </w:rPr>
            </w:pPr>
            <w:r>
              <w:rPr>
                <w:rFonts w:ascii="Segoe UI Emoji" w:hAnsi="Segoe UI Emoji" w:eastAsia="Segoe UI Emoji" w:cs="Segoe UI Emoji"/>
                <w:b/>
                <w:sz w:val="21"/>
                <w:szCs w:val="21"/>
                <w:lang w:eastAsia="zh-CN"/>
              </w:rPr>
              <w:t>■</w:t>
            </w:r>
            <w:r>
              <w:rPr>
                <w:rFonts w:hint="eastAsia" w:eastAsia="宋体"/>
                <w:b/>
                <w:sz w:val="21"/>
                <w:szCs w:val="21"/>
                <w:lang w:eastAsia="zh-CN"/>
              </w:rPr>
              <w:t>核心能力</w:t>
            </w:r>
            <w:r>
              <w:rPr>
                <w:rFonts w:eastAsia="宋体"/>
                <w:b/>
                <w:sz w:val="21"/>
                <w:szCs w:val="21"/>
                <w:lang w:eastAsia="zh-CN"/>
              </w:rPr>
              <w:t xml:space="preserve">3. </w:t>
            </w:r>
            <w:r>
              <w:rPr>
                <w:rFonts w:hint="eastAsia" w:eastAsia="宋体"/>
                <w:b/>
                <w:sz w:val="21"/>
                <w:szCs w:val="21"/>
                <w:lang w:eastAsia="zh-CN"/>
              </w:rPr>
              <w:t>机械工程领域所需技能、技术以及实用软硬件工具的能力</w:t>
            </w:r>
          </w:p>
          <w:p>
            <w:pPr>
              <w:tabs>
                <w:tab w:val="left" w:pos="1440"/>
              </w:tabs>
              <w:spacing w:after="0" w:line="360" w:lineRule="exact"/>
              <w:outlineLvl w:val="0"/>
              <w:rPr>
                <w:rFonts w:eastAsia="宋体"/>
                <w:b/>
                <w:sz w:val="21"/>
                <w:szCs w:val="21"/>
                <w:lang w:eastAsia="zh-CN"/>
              </w:rPr>
            </w:pPr>
            <w:r>
              <w:rPr>
                <w:rFonts w:ascii="Segoe UI Emoji" w:hAnsi="Segoe UI Emoji" w:eastAsia="Segoe UI Emoji" w:cs="Segoe UI Emoji"/>
                <w:b/>
                <w:sz w:val="21"/>
                <w:szCs w:val="21"/>
                <w:lang w:eastAsia="zh-CN"/>
              </w:rPr>
              <w:t>■</w:t>
            </w:r>
            <w:r>
              <w:rPr>
                <w:rFonts w:hint="eastAsia" w:eastAsia="宋体"/>
                <w:b/>
                <w:sz w:val="21"/>
                <w:szCs w:val="21"/>
                <w:lang w:eastAsia="zh-CN"/>
              </w:rPr>
              <w:t>核心能力</w:t>
            </w:r>
            <w:r>
              <w:rPr>
                <w:rFonts w:eastAsia="宋体"/>
                <w:b/>
                <w:sz w:val="21"/>
                <w:szCs w:val="21"/>
                <w:lang w:eastAsia="zh-CN"/>
              </w:rPr>
              <w:t xml:space="preserve">4. </w:t>
            </w:r>
            <w:r>
              <w:rPr>
                <w:rFonts w:hint="eastAsia" w:eastAsia="宋体"/>
                <w:b/>
                <w:sz w:val="21"/>
                <w:szCs w:val="21"/>
                <w:lang w:eastAsia="zh-CN"/>
              </w:rPr>
              <w:t>机械工程系统、零部件或工艺流程的设计能力</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□核心能力</w:t>
            </w:r>
            <w:r>
              <w:rPr>
                <w:rFonts w:eastAsia="宋体"/>
                <w:b/>
                <w:sz w:val="21"/>
                <w:szCs w:val="21"/>
                <w:lang w:eastAsia="zh-CN"/>
              </w:rPr>
              <w:t xml:space="preserve">5. </w:t>
            </w:r>
            <w:r>
              <w:rPr>
                <w:rFonts w:hint="eastAsia" w:eastAsia="宋体"/>
                <w:b/>
                <w:sz w:val="21"/>
                <w:szCs w:val="21"/>
                <w:lang w:eastAsia="zh-CN"/>
              </w:rPr>
              <w:t>项目管理、有效沟通协调、团队合作及创新能力</w:t>
            </w:r>
          </w:p>
          <w:p>
            <w:pPr>
              <w:tabs>
                <w:tab w:val="left" w:pos="1440"/>
              </w:tabs>
              <w:spacing w:after="0" w:line="360" w:lineRule="exact"/>
              <w:outlineLvl w:val="0"/>
              <w:rPr>
                <w:rFonts w:eastAsia="宋体"/>
                <w:b/>
                <w:sz w:val="21"/>
                <w:szCs w:val="21"/>
                <w:lang w:eastAsia="zh-CN"/>
              </w:rPr>
            </w:pPr>
            <w:r>
              <w:rPr>
                <w:rFonts w:ascii="Segoe UI Emoji" w:hAnsi="Segoe UI Emoji" w:eastAsia="Segoe UI Emoji" w:cs="Segoe UI Emoji"/>
                <w:b/>
                <w:sz w:val="21"/>
                <w:szCs w:val="21"/>
                <w:lang w:eastAsia="zh-CN"/>
              </w:rPr>
              <w:t>■</w:t>
            </w:r>
            <w:r>
              <w:rPr>
                <w:rFonts w:hint="eastAsia" w:eastAsia="宋体"/>
                <w:b/>
                <w:sz w:val="21"/>
                <w:szCs w:val="21"/>
                <w:lang w:eastAsia="zh-CN"/>
              </w:rPr>
              <w:t>核心能力</w:t>
            </w:r>
            <w:r>
              <w:rPr>
                <w:rFonts w:eastAsia="宋体"/>
                <w:b/>
                <w:sz w:val="21"/>
                <w:szCs w:val="21"/>
                <w:lang w:eastAsia="zh-CN"/>
              </w:rPr>
              <w:t xml:space="preserve">6. </w:t>
            </w:r>
            <w:r>
              <w:rPr>
                <w:rFonts w:hint="eastAsia" w:eastAsia="宋体"/>
                <w:b/>
                <w:sz w:val="21"/>
                <w:szCs w:val="21"/>
                <w:lang w:eastAsia="zh-CN"/>
              </w:rPr>
              <w:t>发掘、分析与解决复杂机械工程问题的能力</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□核心能力</w:t>
            </w:r>
            <w:r>
              <w:rPr>
                <w:rFonts w:eastAsia="宋体"/>
                <w:b/>
                <w:sz w:val="21"/>
                <w:szCs w:val="21"/>
                <w:lang w:eastAsia="zh-CN"/>
              </w:rPr>
              <w:t>7</w:t>
            </w:r>
            <w:r>
              <w:rPr>
                <w:rFonts w:hint="eastAsia" w:eastAsia="宋体"/>
                <w:b/>
                <w:sz w:val="21"/>
                <w:szCs w:val="21"/>
                <w:lang w:eastAsia="zh-CN"/>
              </w:rPr>
              <w:t>．认识科技发展现状与趋势，了解工程技术对环境、社会及全球的影响，并培养持续学习的习惯与能力</w:t>
            </w:r>
          </w:p>
          <w:p>
            <w:pPr>
              <w:tabs>
                <w:tab w:val="left" w:pos="1440"/>
              </w:tabs>
              <w:spacing w:after="0" w:line="360" w:lineRule="exact"/>
              <w:outlineLvl w:val="0"/>
              <w:rPr>
                <w:rFonts w:eastAsia="宋体"/>
                <w:b/>
                <w:sz w:val="21"/>
                <w:szCs w:val="21"/>
                <w:lang w:eastAsia="zh-CN"/>
              </w:rPr>
            </w:pPr>
            <w:r>
              <w:rPr>
                <w:rFonts w:ascii="Segoe UI Emoji" w:hAnsi="Segoe UI Emoji" w:eastAsia="Segoe UI Emoji" w:cs="Segoe UI Emoji"/>
                <w:b/>
                <w:sz w:val="21"/>
                <w:szCs w:val="21"/>
                <w:lang w:eastAsia="zh-CN"/>
              </w:rPr>
              <w:t>■</w:t>
            </w:r>
            <w:r>
              <w:rPr>
                <w:rFonts w:hint="eastAsia" w:eastAsia="宋体"/>
                <w:b/>
                <w:sz w:val="21"/>
                <w:szCs w:val="21"/>
                <w:lang w:eastAsia="zh-CN"/>
              </w:rPr>
              <w:t>核心能力</w:t>
            </w:r>
            <w:r>
              <w:rPr>
                <w:rFonts w:eastAsia="宋体"/>
                <w:b/>
                <w:sz w:val="21"/>
                <w:szCs w:val="21"/>
                <w:lang w:eastAsia="zh-CN"/>
              </w:rPr>
              <w:t>8</w:t>
            </w:r>
            <w:r>
              <w:rPr>
                <w:rFonts w:hint="eastAsia" w:eastAsia="宋体"/>
                <w:b/>
                <w:sz w:val="21"/>
                <w:szCs w:val="21"/>
                <w:lang w:eastAsia="zh-CN"/>
              </w:rPr>
              <w:t>．理解职业道德、专业伦理与认知社会责任的能力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shd w:val="clear" w:color="auto" w:fill="C0C0C0"/>
            <w:vAlign w:val="center"/>
          </w:tcPr>
          <w:p>
            <w:pPr>
              <w:tabs>
                <w:tab w:val="left" w:pos="1440"/>
              </w:tabs>
              <w:spacing w:line="360" w:lineRule="exact"/>
              <w:jc w:val="center"/>
              <w:outlineLvl w:val="0"/>
              <w:rPr>
                <w:rFonts w:asciiTheme="minorEastAsia" w:hAnsiTheme="minorEastAsia"/>
                <w:b/>
                <w:sz w:val="21"/>
                <w:szCs w:val="21"/>
                <w:lang w:eastAsia="zh-TW"/>
              </w:rPr>
            </w:pPr>
            <w:r>
              <w:rPr>
                <w:rFonts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52"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1224"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教学主题</w:t>
            </w:r>
          </w:p>
        </w:tc>
        <w:tc>
          <w:tcPr>
            <w:tcW w:w="429"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3603"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教学的重点、难点、</w:t>
            </w:r>
            <w:r>
              <w:rPr>
                <w:rFonts w:hint="eastAsia" w:asciiTheme="minorEastAsia" w:hAnsiTheme="minorEastAsia" w:eastAsiaTheme="minorEastAsia"/>
                <w:b/>
                <w:sz w:val="21"/>
                <w:szCs w:val="21"/>
                <w:lang w:eastAsia="zh-CN"/>
              </w:rPr>
              <w:t>课程思政融入点</w:t>
            </w:r>
          </w:p>
        </w:tc>
        <w:tc>
          <w:tcPr>
            <w:tcW w:w="784"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教学方式</w:t>
            </w:r>
          </w:p>
        </w:tc>
        <w:tc>
          <w:tcPr>
            <w:tcW w:w="1273"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1</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绪论</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工程管理的作用、发展及其在生产制造中的重要性</w:t>
            </w:r>
          </w:p>
          <w:p>
            <w:pPr>
              <w:spacing w:line="0" w:lineRule="atLeast"/>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：工程管理的作用</w:t>
            </w:r>
          </w:p>
          <w:p>
            <w:pPr>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：工程管理在生产制造中的重要性</w:t>
            </w:r>
          </w:p>
          <w:p>
            <w:pPr>
              <w:spacing w:line="0" w:lineRule="atLeast"/>
              <w:rPr>
                <w:rFonts w:eastAsiaTheme="minorEastAsia"/>
                <w:sz w:val="21"/>
                <w:szCs w:val="21"/>
                <w:lang w:eastAsia="zh-CN"/>
              </w:rPr>
            </w:pPr>
            <w:r>
              <w:rPr>
                <w:rFonts w:eastAsiaTheme="minorEastAsia"/>
                <w:b/>
                <w:sz w:val="21"/>
                <w:szCs w:val="21"/>
                <w:lang w:eastAsia="zh-CN"/>
              </w:rPr>
              <w:t>课程思政融入点</w:t>
            </w:r>
            <w:r>
              <w:rPr>
                <w:rFonts w:eastAsiaTheme="minorEastAsia"/>
                <w:sz w:val="21"/>
                <w:szCs w:val="21"/>
                <w:lang w:eastAsia="zh-CN"/>
              </w:rPr>
              <w:t>：</w:t>
            </w:r>
            <w:r>
              <w:rPr>
                <w:rFonts w:eastAsiaTheme="minorEastAsia"/>
                <w:b/>
                <w:sz w:val="21"/>
                <w:szCs w:val="21"/>
                <w:lang w:eastAsia="zh-CN"/>
              </w:rPr>
              <w:t>介绍工程管理的演变过程，学习工程管理在实际生产制造中的运用，结合“中国制造2025”主题，培养学生的爱国精神。</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r>
              <w:rPr>
                <w:rFonts w:eastAsiaTheme="minorEastAsia"/>
                <w:b/>
                <w:sz w:val="21"/>
                <w:szCs w:val="21"/>
                <w:lang w:eastAsia="zh-CN"/>
              </w:rPr>
              <w:t>课程思政作业：要求学生每人至少阅读两篇与车钳工发展有关的文章或书籍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2</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生产管理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了解并设置生产管理系统等</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：了解生产管理系统</w:t>
            </w:r>
          </w:p>
          <w:p>
            <w:pPr>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：设置生产管理系统</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3</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生产管理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编制生产计划、生产技术准备计划和生产作业计划等</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：编制生产计划</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：生产技术准备计划和生产作业计划</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4</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生产管理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了解生产控制工作、案例分析</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：了解生产控制工作</w:t>
            </w:r>
          </w:p>
          <w:p>
            <w:pPr>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：生产控制工作的案例分析</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5</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生产管理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了解交付期的正常，保证交付期的正常案例分析</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：了解交付期的正常</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：保证交付期的正常案例分析</w:t>
            </w:r>
          </w:p>
          <w:p>
            <w:pPr>
              <w:spacing w:line="0" w:lineRule="atLeast"/>
              <w:rPr>
                <w:rFonts w:eastAsiaTheme="minorEastAsia"/>
                <w:sz w:val="21"/>
                <w:szCs w:val="21"/>
                <w:lang w:eastAsia="zh-CN"/>
              </w:rPr>
            </w:pP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rFonts w:eastAsiaTheme="minorEastAsia"/>
                <w:sz w:val="21"/>
                <w:szCs w:val="21"/>
                <w:lang w:eastAsia="zh-CN"/>
              </w:rPr>
            </w:pPr>
            <w:r>
              <w:rPr>
                <w:rFonts w:eastAsiaTheme="minorEastAsia"/>
                <w:sz w:val="21"/>
                <w:szCs w:val="21"/>
                <w:lang w:eastAsia="zh-CN"/>
              </w:rPr>
              <w:t>6</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物料管理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物料管理及重要性</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：了解物料管理</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：物料管理</w:t>
            </w:r>
            <w:r>
              <w:rPr>
                <w:rFonts w:eastAsia="宋体"/>
                <w:sz w:val="21"/>
                <w:szCs w:val="21"/>
                <w:lang w:eastAsia="zh-CN"/>
              </w:rPr>
              <w:t>及</w:t>
            </w:r>
            <w:r>
              <w:rPr>
                <w:rFonts w:eastAsiaTheme="minorEastAsia"/>
                <w:sz w:val="21"/>
                <w:szCs w:val="21"/>
                <w:lang w:eastAsia="zh-CN"/>
              </w:rPr>
              <w:t>应用重要性</w:t>
            </w:r>
          </w:p>
        </w:tc>
        <w:tc>
          <w:tcPr>
            <w:tcW w:w="784" w:type="dxa"/>
            <w:gridSpan w:val="2"/>
            <w:vAlign w:val="center"/>
          </w:tcPr>
          <w:p>
            <w:pPr>
              <w:spacing w:line="360" w:lineRule="exact"/>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宋体"/>
                <w:sz w:val="21"/>
                <w:szCs w:val="21"/>
                <w:lang w:eastAsia="zh-CN"/>
              </w:rPr>
              <w:t>7</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物料管理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了解企业物料管理实例、分析企业物料管理实例</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：了解企业物料管理实例</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：分析企业物料管理实例</w:t>
            </w:r>
          </w:p>
        </w:tc>
        <w:tc>
          <w:tcPr>
            <w:tcW w:w="784" w:type="dxa"/>
            <w:gridSpan w:val="2"/>
            <w:vAlign w:val="center"/>
          </w:tcPr>
          <w:p>
            <w:pPr>
              <w:spacing w:line="360" w:lineRule="exact"/>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宋体"/>
                <w:sz w:val="21"/>
                <w:szCs w:val="21"/>
                <w:lang w:eastAsia="zh-CN"/>
              </w:rPr>
              <w:t>8</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物流管理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物流管理的含义、内容及重要性</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：了解物流管理含义、内容</w:t>
            </w:r>
          </w:p>
          <w:p>
            <w:pPr>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：物流管理的重要性</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宋体"/>
                <w:sz w:val="21"/>
                <w:szCs w:val="21"/>
                <w:lang w:eastAsia="zh-CN"/>
              </w:rPr>
              <w:t>9</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物流管理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物流管理的应用</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：物流管理的经典案例</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：物流管理的应用案例</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讲授、讨论</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after="0" w:line="360" w:lineRule="exact"/>
              <w:jc w:val="center"/>
              <w:rPr>
                <w:sz w:val="21"/>
                <w:szCs w:val="21"/>
                <w:lang w:eastAsia="zh-TW"/>
              </w:rPr>
            </w:pPr>
            <w:r>
              <w:rPr>
                <w:rFonts w:eastAsia="宋体"/>
                <w:sz w:val="21"/>
                <w:szCs w:val="21"/>
                <w:lang w:eastAsia="zh-CN"/>
              </w:rPr>
              <w:t>10</w:t>
            </w:r>
          </w:p>
        </w:tc>
        <w:tc>
          <w:tcPr>
            <w:tcW w:w="1224" w:type="dxa"/>
            <w:gridSpan w:val="2"/>
            <w:vAlign w:val="center"/>
          </w:tcPr>
          <w:p>
            <w:pPr>
              <w:spacing w:after="0" w:line="360" w:lineRule="exact"/>
              <w:rPr>
                <w:rFonts w:eastAsiaTheme="minorEastAsia"/>
                <w:sz w:val="21"/>
                <w:szCs w:val="21"/>
                <w:lang w:eastAsia="zh-CN"/>
              </w:rPr>
            </w:pPr>
            <w:r>
              <w:rPr>
                <w:rFonts w:eastAsia="宋体"/>
                <w:sz w:val="21"/>
                <w:szCs w:val="21"/>
                <w:lang w:eastAsia="zh-CN"/>
              </w:rPr>
              <w:t>期中考试</w:t>
            </w:r>
          </w:p>
        </w:tc>
        <w:tc>
          <w:tcPr>
            <w:tcW w:w="429" w:type="dxa"/>
            <w:vAlign w:val="center"/>
          </w:tcPr>
          <w:p>
            <w:pPr>
              <w:spacing w:after="0" w:line="360" w:lineRule="exact"/>
              <w:rPr>
                <w:rFonts w:eastAsiaTheme="minorEastAsia"/>
                <w:sz w:val="21"/>
                <w:szCs w:val="21"/>
                <w:lang w:eastAsia="zh-CN"/>
              </w:rPr>
            </w:pPr>
            <w:r>
              <w:rPr>
                <w:rFonts w:eastAsia="宋体"/>
                <w:sz w:val="21"/>
                <w:szCs w:val="21"/>
                <w:lang w:eastAsia="zh-CN"/>
              </w:rPr>
              <w:t>3</w:t>
            </w:r>
          </w:p>
        </w:tc>
        <w:tc>
          <w:tcPr>
            <w:tcW w:w="3603" w:type="dxa"/>
            <w:gridSpan w:val="3"/>
            <w:vAlign w:val="center"/>
          </w:tcPr>
          <w:p>
            <w:pPr>
              <w:spacing w:line="0" w:lineRule="atLeast"/>
              <w:rPr>
                <w:rFonts w:eastAsiaTheme="minorEastAsia"/>
                <w:sz w:val="21"/>
                <w:szCs w:val="21"/>
                <w:lang w:eastAsia="zh-CN"/>
              </w:rPr>
            </w:pPr>
            <w:r>
              <w:rPr>
                <w:rFonts w:eastAsiaTheme="minorEastAsia"/>
                <w:sz w:val="21"/>
                <w:szCs w:val="21"/>
                <w:lang w:eastAsia="zh-CN"/>
              </w:rPr>
              <w:t>检查学生对物料管理的知识的了解</w:t>
            </w:r>
          </w:p>
          <w:p>
            <w:pPr>
              <w:spacing w:after="0" w:line="360" w:lineRule="exact"/>
              <w:rPr>
                <w:rFonts w:eastAsiaTheme="minorEastAsia"/>
                <w:sz w:val="21"/>
                <w:szCs w:val="21"/>
                <w:lang w:eastAsia="zh-CN"/>
              </w:rPr>
            </w:pPr>
            <w:r>
              <w:rPr>
                <w:rFonts w:eastAsiaTheme="minorEastAsia"/>
                <w:b/>
                <w:sz w:val="21"/>
                <w:szCs w:val="21"/>
                <w:lang w:eastAsia="zh-CN"/>
              </w:rPr>
              <w:t>课程思政融入点</w:t>
            </w:r>
            <w:r>
              <w:rPr>
                <w:rFonts w:eastAsiaTheme="minorEastAsia"/>
                <w:sz w:val="21"/>
                <w:szCs w:val="21"/>
                <w:lang w:eastAsia="zh-CN"/>
              </w:rPr>
              <w:t>：</w:t>
            </w:r>
            <w:r>
              <w:rPr>
                <w:rFonts w:eastAsiaTheme="minorEastAsia"/>
                <w:b/>
                <w:sz w:val="21"/>
                <w:szCs w:val="21"/>
                <w:lang w:eastAsia="zh-CN"/>
              </w:rPr>
              <w:t>测试学生对物料管理的知识的了解和贯通，结合“中国制造2025”主题，培养学生实践运用能力和爱国精神。</w:t>
            </w:r>
          </w:p>
        </w:tc>
        <w:tc>
          <w:tcPr>
            <w:tcW w:w="784" w:type="dxa"/>
            <w:gridSpan w:val="2"/>
            <w:vAlign w:val="center"/>
          </w:tcPr>
          <w:p>
            <w:pPr>
              <w:spacing w:after="0" w:line="360" w:lineRule="exact"/>
              <w:rPr>
                <w:rFonts w:eastAsiaTheme="minorEastAsia"/>
                <w:sz w:val="21"/>
                <w:szCs w:val="21"/>
              </w:rPr>
            </w:pPr>
            <w:r>
              <w:rPr>
                <w:rFonts w:eastAsia="宋体"/>
                <w:sz w:val="21"/>
                <w:szCs w:val="21"/>
                <w:lang w:eastAsia="zh-CN"/>
              </w:rPr>
              <w:t>考试</w:t>
            </w:r>
          </w:p>
        </w:tc>
        <w:tc>
          <w:tcPr>
            <w:tcW w:w="1273" w:type="dxa"/>
            <w:vAlign w:val="center"/>
          </w:tcPr>
          <w:p>
            <w:pPr>
              <w:spacing w:after="0" w:line="360" w:lineRule="exac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1</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物流管理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企业物流管理实例</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：企业物流管理的经典案例</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：企业物流管理的应用实例</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2</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供应链管理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供应链管理及其重要性</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：了解供应链管理含义、内容</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：供应链管理的重要性</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3</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供应链管理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企业供应链管理实例</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：企业供应链管理的经典案例</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：企业供应链管理的应用实例</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讲授、讨论</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4</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供应链管理</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有效的供应链管理可以帮助实现四项目标：缩短现金周转时间；降低企业面临的风险；实现盈利增长；提供可预测收入。</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：了解供应链管理的四项目标</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：如何实现供应链管理的四项目标</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5</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供应链管理的七项原则</w:t>
            </w:r>
            <w:r>
              <w:rPr>
                <w:rFonts w:hint="eastAsia" w:ascii="宋体" w:hAnsi="宋体" w:eastAsia="宋体" w:cs="宋体"/>
                <w:sz w:val="21"/>
                <w:szCs w:val="21"/>
                <w:lang w:eastAsia="zh-CN"/>
              </w:rPr>
              <w:t>Ⅰ</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根据客户所需的服务特性来划分客户群； 根据客户需求和企业可获利情况，设计企业的后勤网络；倾听市场的需求信息,设计更贴近客户的产品；时间延迟</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：了解供应链管理的七项原则</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：供应链管理的七项原则的实践</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6</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供应链管理的七项原则</w:t>
            </w:r>
            <w:r>
              <w:rPr>
                <w:rFonts w:hint="eastAsia" w:ascii="宋体" w:hAnsi="宋体" w:eastAsia="宋体" w:cs="宋体"/>
                <w:sz w:val="21"/>
                <w:szCs w:val="21"/>
                <w:lang w:eastAsia="zh-CN"/>
              </w:rPr>
              <w:t>Ⅱ</w:t>
            </w:r>
          </w:p>
        </w:tc>
        <w:tc>
          <w:tcPr>
            <w:tcW w:w="429" w:type="dxa"/>
          </w:tcPr>
          <w:p>
            <w:pPr>
              <w:spacing w:line="0" w:lineRule="atLeast"/>
              <w:rPr>
                <w:rFonts w:eastAsiaTheme="minorEastAsia"/>
                <w:sz w:val="21"/>
                <w:szCs w:val="21"/>
                <w:lang w:eastAsia="zh-CN"/>
              </w:rPr>
            </w:pPr>
            <w:r>
              <w:rPr>
                <w:rFonts w:eastAsiaTheme="minorEastAsia"/>
                <w:sz w:val="21"/>
                <w:szCs w:val="21"/>
                <w:lang w:eastAsia="zh-CN"/>
              </w:rPr>
              <w:t>3</w:t>
            </w: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策略性的确定货源和采购与供应商建立双赢的合作策略；在整个供应链领域建立信息系统；建立整个供应链的绩效考核准则。</w:t>
            </w:r>
          </w:p>
          <w:p>
            <w:pPr>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：了解供应链管理的七项原则</w:t>
            </w:r>
          </w:p>
          <w:p>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：供应链管理的七项原则的实践</w:t>
            </w:r>
          </w:p>
        </w:tc>
        <w:tc>
          <w:tcPr>
            <w:tcW w:w="784"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讲授</w:t>
            </w:r>
          </w:p>
        </w:tc>
        <w:tc>
          <w:tcPr>
            <w:tcW w:w="1273" w:type="dxa"/>
          </w:tcPr>
          <w:p>
            <w:pPr>
              <w:spacing w:line="360" w:lineRule="exact"/>
              <w:jc w:val="cente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spacing w:line="0" w:lineRule="atLeast"/>
              <w:jc w:val="center"/>
              <w:rPr>
                <w:sz w:val="21"/>
                <w:szCs w:val="21"/>
                <w:lang w:eastAsia="zh-TW"/>
              </w:rPr>
            </w:pPr>
            <w:r>
              <w:rPr>
                <w:rFonts w:eastAsiaTheme="minorEastAsia"/>
                <w:sz w:val="21"/>
                <w:szCs w:val="21"/>
                <w:lang w:eastAsia="zh-CN"/>
              </w:rPr>
              <w:t>1</w:t>
            </w:r>
            <w:r>
              <w:rPr>
                <w:rFonts w:eastAsia="宋体"/>
                <w:sz w:val="21"/>
                <w:szCs w:val="21"/>
                <w:lang w:eastAsia="zh-CN"/>
              </w:rPr>
              <w:t>7</w:t>
            </w:r>
          </w:p>
        </w:tc>
        <w:tc>
          <w:tcPr>
            <w:tcW w:w="1224" w:type="dxa"/>
            <w:gridSpan w:val="2"/>
            <w:vAlign w:val="center"/>
          </w:tcPr>
          <w:p>
            <w:pPr>
              <w:spacing w:line="0" w:lineRule="atLeast"/>
              <w:jc w:val="center"/>
              <w:rPr>
                <w:rFonts w:eastAsiaTheme="minorEastAsia"/>
                <w:sz w:val="21"/>
                <w:szCs w:val="21"/>
                <w:lang w:eastAsia="zh-CN"/>
              </w:rPr>
            </w:pPr>
            <w:r>
              <w:rPr>
                <w:rFonts w:eastAsiaTheme="minorEastAsia"/>
                <w:sz w:val="21"/>
                <w:szCs w:val="21"/>
                <w:lang w:eastAsia="zh-CN"/>
              </w:rPr>
              <w:t>期末考</w:t>
            </w:r>
          </w:p>
        </w:tc>
        <w:tc>
          <w:tcPr>
            <w:tcW w:w="429" w:type="dxa"/>
          </w:tcPr>
          <w:p>
            <w:pPr>
              <w:jc w:val="center"/>
              <w:rPr>
                <w:rFonts w:eastAsiaTheme="minorEastAsia"/>
                <w:sz w:val="21"/>
                <w:szCs w:val="21"/>
                <w:lang w:eastAsia="zh-CN"/>
              </w:rPr>
            </w:pPr>
          </w:p>
        </w:tc>
        <w:tc>
          <w:tcPr>
            <w:tcW w:w="3603" w:type="dxa"/>
            <w:gridSpan w:val="3"/>
          </w:tcPr>
          <w:p>
            <w:pPr>
              <w:spacing w:line="0" w:lineRule="atLeast"/>
              <w:rPr>
                <w:rFonts w:eastAsiaTheme="minorEastAsia"/>
                <w:sz w:val="21"/>
                <w:szCs w:val="21"/>
                <w:lang w:eastAsia="zh-CN"/>
              </w:rPr>
            </w:pPr>
            <w:r>
              <w:rPr>
                <w:rFonts w:eastAsiaTheme="minorEastAsia"/>
                <w:sz w:val="21"/>
                <w:szCs w:val="21"/>
                <w:lang w:eastAsia="zh-CN"/>
              </w:rPr>
              <w:t>检查学生对物料管理、物流管理、供应链管理知识的了解</w:t>
            </w:r>
          </w:p>
          <w:p>
            <w:pPr>
              <w:rPr>
                <w:rFonts w:eastAsiaTheme="minorEastAsia"/>
                <w:sz w:val="21"/>
                <w:szCs w:val="21"/>
                <w:lang w:eastAsia="zh-CN"/>
              </w:rPr>
            </w:pPr>
            <w:r>
              <w:rPr>
                <w:rFonts w:eastAsiaTheme="minorEastAsia"/>
                <w:b/>
                <w:sz w:val="21"/>
                <w:szCs w:val="21"/>
                <w:lang w:eastAsia="zh-CN"/>
              </w:rPr>
              <w:t>课程思政融入点</w:t>
            </w:r>
            <w:r>
              <w:rPr>
                <w:rFonts w:eastAsiaTheme="minorEastAsia"/>
                <w:sz w:val="21"/>
                <w:szCs w:val="21"/>
                <w:lang w:eastAsia="zh-CN"/>
              </w:rPr>
              <w:t>：</w:t>
            </w:r>
            <w:r>
              <w:rPr>
                <w:rFonts w:eastAsiaTheme="minorEastAsia"/>
                <w:b/>
                <w:sz w:val="21"/>
                <w:szCs w:val="21"/>
                <w:lang w:eastAsia="zh-CN"/>
              </w:rPr>
              <w:t>测试学生对物料管理、物流管理、供应链管理了解和贯通，结合“中国制造2025”主题，培养学生实践运用能力和爱国精神。</w:t>
            </w:r>
          </w:p>
        </w:tc>
        <w:tc>
          <w:tcPr>
            <w:tcW w:w="784" w:type="dxa"/>
            <w:gridSpan w:val="2"/>
            <w:vAlign w:val="center"/>
          </w:tcPr>
          <w:p>
            <w:pPr>
              <w:jc w:val="center"/>
              <w:rPr>
                <w:rFonts w:eastAsiaTheme="minorEastAsia"/>
                <w:sz w:val="21"/>
                <w:szCs w:val="21"/>
              </w:rPr>
            </w:pPr>
            <w:r>
              <w:rPr>
                <w:rFonts w:eastAsia="宋体"/>
                <w:sz w:val="21"/>
                <w:lang w:eastAsia="zh-CN"/>
              </w:rPr>
              <w:t>考试</w:t>
            </w:r>
          </w:p>
        </w:tc>
        <w:tc>
          <w:tcPr>
            <w:tcW w:w="1273" w:type="dxa"/>
          </w:tcPr>
          <w:p>
            <w:pP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76" w:type="dxa"/>
            <w:gridSpan w:val="3"/>
            <w:vAlign w:val="center"/>
          </w:tcPr>
          <w:p>
            <w:pPr>
              <w:spacing w:line="0" w:lineRule="atLeast"/>
              <w:rPr>
                <w:rFonts w:eastAsiaTheme="minorEastAsia"/>
                <w:sz w:val="21"/>
                <w:szCs w:val="21"/>
                <w:lang w:eastAsia="zh-CN"/>
              </w:rPr>
            </w:pPr>
            <w:r>
              <w:rPr>
                <w:rFonts w:hint="eastAsia" w:eastAsiaTheme="minorEastAsia"/>
                <w:sz w:val="21"/>
                <w:szCs w:val="21"/>
                <w:lang w:eastAsia="zh-CN"/>
              </w:rPr>
              <w:t>合计</w:t>
            </w:r>
          </w:p>
        </w:tc>
        <w:tc>
          <w:tcPr>
            <w:tcW w:w="429" w:type="dxa"/>
          </w:tcPr>
          <w:p>
            <w:pPr>
              <w:spacing w:line="0" w:lineRule="atLeast"/>
              <w:rPr>
                <w:sz w:val="21"/>
                <w:szCs w:val="21"/>
                <w:lang w:eastAsia="zh-TW"/>
              </w:rPr>
            </w:pPr>
            <w:r>
              <w:rPr>
                <w:sz w:val="21"/>
                <w:szCs w:val="21"/>
                <w:lang w:eastAsia="zh-TW"/>
              </w:rPr>
              <w:t>48</w:t>
            </w:r>
          </w:p>
        </w:tc>
        <w:tc>
          <w:tcPr>
            <w:tcW w:w="3603" w:type="dxa"/>
            <w:gridSpan w:val="3"/>
          </w:tcPr>
          <w:p>
            <w:pPr>
              <w:spacing w:line="0" w:lineRule="atLeast"/>
              <w:rPr>
                <w:rFonts w:eastAsiaTheme="minorEastAsia"/>
                <w:sz w:val="21"/>
                <w:szCs w:val="21"/>
                <w:lang w:eastAsia="zh-CN"/>
              </w:rPr>
            </w:pPr>
          </w:p>
        </w:tc>
        <w:tc>
          <w:tcPr>
            <w:tcW w:w="784" w:type="dxa"/>
            <w:gridSpan w:val="2"/>
          </w:tcPr>
          <w:p>
            <w:pPr>
              <w:rPr>
                <w:rFonts w:eastAsia="宋体"/>
                <w:sz w:val="21"/>
                <w:szCs w:val="21"/>
                <w:lang w:eastAsia="zh-CN"/>
              </w:rPr>
            </w:pPr>
          </w:p>
        </w:tc>
        <w:tc>
          <w:tcPr>
            <w:tcW w:w="1273" w:type="dxa"/>
          </w:tcPr>
          <w:p>
            <w:pPr>
              <w:spacing w:after="0" w:line="360" w:lineRule="exact"/>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224"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实验项目名称</w:t>
            </w:r>
          </w:p>
        </w:tc>
        <w:tc>
          <w:tcPr>
            <w:tcW w:w="429"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学时</w:t>
            </w:r>
          </w:p>
        </w:tc>
        <w:tc>
          <w:tcPr>
            <w:tcW w:w="2581" w:type="dxa"/>
            <w:gridSpan w:val="2"/>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重点</w:t>
            </w:r>
            <w:r>
              <w:rPr>
                <w:rFonts w:hint="eastAsia" w:eastAsia="宋体"/>
                <w:b/>
                <w:sz w:val="21"/>
                <w:szCs w:val="21"/>
                <w:lang w:eastAsia="zh-CN"/>
              </w:rPr>
              <w:t>、</w:t>
            </w:r>
            <w:r>
              <w:rPr>
                <w:rFonts w:eastAsia="宋体"/>
                <w:b/>
                <w:sz w:val="21"/>
                <w:szCs w:val="21"/>
                <w:lang w:eastAsia="zh-CN"/>
              </w:rPr>
              <w:t>难点</w:t>
            </w:r>
            <w:r>
              <w:rPr>
                <w:rFonts w:hint="eastAsia" w:eastAsia="宋体"/>
                <w:b/>
                <w:sz w:val="21"/>
                <w:szCs w:val="21"/>
                <w:lang w:eastAsia="zh-CN"/>
              </w:rPr>
              <w:t>、</w:t>
            </w:r>
            <w:r>
              <w:rPr>
                <w:rFonts w:hint="eastAsia" w:asciiTheme="minorEastAsia" w:hAnsiTheme="minorEastAsia" w:eastAsiaTheme="minorEastAsia"/>
                <w:b/>
                <w:color w:val="FF0000"/>
                <w:sz w:val="21"/>
                <w:szCs w:val="21"/>
                <w:lang w:eastAsia="zh-CN"/>
              </w:rPr>
              <w:t>课程思政融入点</w:t>
            </w:r>
          </w:p>
        </w:tc>
        <w:tc>
          <w:tcPr>
            <w:tcW w:w="1022" w:type="dxa"/>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项目类型（验证/综合/设计）</w:t>
            </w:r>
          </w:p>
        </w:tc>
        <w:tc>
          <w:tcPr>
            <w:tcW w:w="2057"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w:t>
            </w:r>
          </w:p>
          <w:p>
            <w:pPr>
              <w:spacing w:after="0" w:line="360" w:lineRule="exact"/>
              <w:jc w:val="center"/>
              <w:rPr>
                <w:rFonts w:eastAsia="宋体"/>
                <w:b/>
                <w:sz w:val="21"/>
                <w:szCs w:val="21"/>
              </w:rPr>
            </w:pPr>
            <w:r>
              <w:rPr>
                <w:rFonts w:eastAsia="宋体"/>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76" w:type="dxa"/>
            <w:gridSpan w:val="3"/>
            <w:vAlign w:val="center"/>
          </w:tcPr>
          <w:p>
            <w:pPr>
              <w:spacing w:after="0" w:line="360" w:lineRule="exact"/>
              <w:jc w:val="right"/>
              <w:rPr>
                <w:rFonts w:eastAsia="宋体"/>
                <w:sz w:val="21"/>
                <w:szCs w:val="21"/>
              </w:rPr>
            </w:pPr>
            <w:r>
              <w:rPr>
                <w:rFonts w:eastAsia="宋体"/>
                <w:sz w:val="21"/>
                <w:szCs w:val="21"/>
              </w:rPr>
              <w:t>合计：</w:t>
            </w:r>
          </w:p>
        </w:tc>
        <w:tc>
          <w:tcPr>
            <w:tcW w:w="429" w:type="dxa"/>
            <w:vAlign w:val="center"/>
          </w:tcPr>
          <w:p>
            <w:pPr>
              <w:spacing w:after="0" w:line="360" w:lineRule="exact"/>
              <w:rPr>
                <w:rFonts w:eastAsia="宋体"/>
                <w:sz w:val="21"/>
                <w:szCs w:val="21"/>
                <w:lang w:eastAsia="zh-CN"/>
              </w:rPr>
            </w:pPr>
            <w:r>
              <w:rPr>
                <w:rFonts w:hint="eastAsia" w:eastAsia="宋体"/>
                <w:sz w:val="21"/>
                <w:szCs w:val="21"/>
                <w:lang w:eastAsia="zh-CN"/>
              </w:rPr>
              <w:t>0</w:t>
            </w:r>
          </w:p>
        </w:tc>
        <w:tc>
          <w:tcPr>
            <w:tcW w:w="2581" w:type="dxa"/>
            <w:gridSpan w:val="2"/>
            <w:vAlign w:val="center"/>
          </w:tcPr>
          <w:p>
            <w:pPr>
              <w:spacing w:after="0" w:line="360" w:lineRule="exact"/>
              <w:rPr>
                <w:rFonts w:eastAsia="宋体"/>
                <w:sz w:val="21"/>
                <w:szCs w:val="21"/>
              </w:rPr>
            </w:pPr>
          </w:p>
        </w:tc>
        <w:tc>
          <w:tcPr>
            <w:tcW w:w="1022" w:type="dxa"/>
            <w:vAlign w:val="center"/>
          </w:tcPr>
          <w:p>
            <w:pPr>
              <w:spacing w:after="0" w:line="360" w:lineRule="exact"/>
              <w:rPr>
                <w:rFonts w:eastAsia="宋体"/>
                <w:sz w:val="21"/>
                <w:szCs w:val="21"/>
              </w:rPr>
            </w:pPr>
          </w:p>
        </w:tc>
        <w:tc>
          <w:tcPr>
            <w:tcW w:w="2057"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w:t>
            </w:r>
            <w:r>
              <w:rPr>
                <w:rFonts w:eastAsia="宋体"/>
                <w:b/>
                <w:szCs w:val="21"/>
                <w:lang w:eastAsia="zh-CN"/>
              </w:rPr>
              <w:t>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4661" w:type="dxa"/>
            <w:gridSpan w:val="6"/>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795" w:type="dxa"/>
            <w:gridSpan w:val="2"/>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考勤</w:t>
            </w:r>
          </w:p>
        </w:tc>
        <w:tc>
          <w:tcPr>
            <w:tcW w:w="4661" w:type="dxa"/>
            <w:gridSpan w:val="6"/>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不迟到、不早退、不旷课</w:t>
            </w:r>
          </w:p>
        </w:tc>
        <w:tc>
          <w:tcPr>
            <w:tcW w:w="1795" w:type="dxa"/>
            <w:gridSpan w:val="2"/>
            <w:vAlign w:val="center"/>
          </w:tcPr>
          <w:p>
            <w:pPr>
              <w:widowControl w:val="0"/>
              <w:snapToGrid w:val="0"/>
              <w:spacing w:after="0"/>
              <w:ind w:left="180"/>
              <w:jc w:val="center"/>
              <w:rPr>
                <w:rFonts w:eastAsia="宋体"/>
                <w:sz w:val="21"/>
                <w:szCs w:val="21"/>
                <w:lang w:eastAsia="zh-CN"/>
              </w:rPr>
            </w:pPr>
            <w:r>
              <w:rPr>
                <w:rFonts w:eastAsia="宋体"/>
                <w:kern w:val="2"/>
                <w:sz w:val="21"/>
                <w:szCs w:val="21"/>
                <w:lang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课堂测验</w:t>
            </w:r>
          </w:p>
        </w:tc>
        <w:tc>
          <w:tcPr>
            <w:tcW w:w="4661" w:type="dxa"/>
            <w:gridSpan w:val="6"/>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课前准备充分，课堂积极发言</w:t>
            </w:r>
          </w:p>
        </w:tc>
        <w:tc>
          <w:tcPr>
            <w:tcW w:w="1795" w:type="dxa"/>
            <w:gridSpan w:val="2"/>
            <w:vAlign w:val="center"/>
          </w:tcPr>
          <w:p>
            <w:pPr>
              <w:widowControl w:val="0"/>
              <w:snapToGrid w:val="0"/>
              <w:spacing w:after="0"/>
              <w:ind w:left="180"/>
              <w:jc w:val="center"/>
              <w:rPr>
                <w:rFonts w:eastAsia="宋体"/>
                <w:sz w:val="21"/>
                <w:szCs w:val="21"/>
                <w:lang w:eastAsia="zh-CN"/>
              </w:rPr>
            </w:pPr>
            <w:r>
              <w:rPr>
                <w:rFonts w:eastAsia="宋体"/>
                <w:kern w:val="2"/>
                <w:sz w:val="21"/>
                <w:szCs w:val="21"/>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期中考试</w:t>
            </w:r>
          </w:p>
        </w:tc>
        <w:tc>
          <w:tcPr>
            <w:tcW w:w="4661" w:type="dxa"/>
            <w:gridSpan w:val="6"/>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按时按量完成小论文，根据质量判定评分等级</w:t>
            </w:r>
          </w:p>
        </w:tc>
        <w:tc>
          <w:tcPr>
            <w:tcW w:w="1795" w:type="dxa"/>
            <w:gridSpan w:val="2"/>
            <w:vAlign w:val="center"/>
          </w:tcPr>
          <w:p>
            <w:pPr>
              <w:widowControl w:val="0"/>
              <w:snapToGrid w:val="0"/>
              <w:spacing w:after="0"/>
              <w:ind w:left="180"/>
              <w:jc w:val="center"/>
              <w:rPr>
                <w:rFonts w:eastAsia="宋体"/>
                <w:sz w:val="21"/>
                <w:szCs w:val="21"/>
                <w:lang w:eastAsia="zh-CN"/>
              </w:rPr>
            </w:pPr>
            <w:r>
              <w:rPr>
                <w:rFonts w:eastAsia="宋体"/>
                <w:kern w:val="2"/>
                <w:sz w:val="21"/>
                <w:szCs w:val="21"/>
                <w:lang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期末考试</w:t>
            </w:r>
          </w:p>
        </w:tc>
        <w:tc>
          <w:tcPr>
            <w:tcW w:w="4661" w:type="dxa"/>
            <w:gridSpan w:val="6"/>
          </w:tcPr>
          <w:p>
            <w:pPr>
              <w:widowControl w:val="0"/>
              <w:snapToGrid w:val="0"/>
              <w:spacing w:after="0"/>
              <w:jc w:val="center"/>
              <w:rPr>
                <w:rFonts w:eastAsia="宋体"/>
                <w:sz w:val="21"/>
                <w:szCs w:val="21"/>
                <w:lang w:eastAsia="zh-CN"/>
              </w:rPr>
            </w:pPr>
            <w:r>
              <w:rPr>
                <w:rFonts w:hint="eastAsia" w:ascii="宋体" w:hAnsi="宋体" w:eastAsia="宋体" w:cs="宋体"/>
                <w:kern w:val="2"/>
                <w:sz w:val="21"/>
                <w:szCs w:val="21"/>
                <w:lang w:eastAsia="zh-CN" w:bidi="ar"/>
              </w:rPr>
              <w:t>根据评分标准评定分数</w:t>
            </w:r>
          </w:p>
        </w:tc>
        <w:tc>
          <w:tcPr>
            <w:tcW w:w="1795" w:type="dxa"/>
            <w:gridSpan w:val="2"/>
            <w:vAlign w:val="center"/>
          </w:tcPr>
          <w:p>
            <w:pPr>
              <w:widowControl w:val="0"/>
              <w:snapToGrid w:val="0"/>
              <w:spacing w:after="0"/>
              <w:ind w:left="180"/>
              <w:jc w:val="center"/>
              <w:rPr>
                <w:rFonts w:eastAsia="宋体"/>
                <w:sz w:val="21"/>
                <w:szCs w:val="21"/>
                <w:lang w:eastAsia="zh-CN"/>
              </w:rPr>
            </w:pPr>
            <w:r>
              <w:rPr>
                <w:rFonts w:eastAsia="宋体"/>
                <w:kern w:val="2"/>
                <w:sz w:val="21"/>
                <w:szCs w:val="21"/>
                <w:lang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09" w:type="dxa"/>
            <w:gridSpan w:val="2"/>
            <w:vAlign w:val="center"/>
          </w:tcPr>
          <w:p>
            <w:pPr>
              <w:snapToGrid w:val="0"/>
              <w:spacing w:after="0" w:line="360" w:lineRule="exact"/>
              <w:rPr>
                <w:rFonts w:eastAsia="宋体"/>
                <w:sz w:val="21"/>
                <w:szCs w:val="21"/>
              </w:rPr>
            </w:pPr>
          </w:p>
        </w:tc>
        <w:tc>
          <w:tcPr>
            <w:tcW w:w="4661" w:type="dxa"/>
            <w:gridSpan w:val="6"/>
            <w:vAlign w:val="center"/>
          </w:tcPr>
          <w:p>
            <w:pPr>
              <w:snapToGrid w:val="0"/>
              <w:spacing w:after="0" w:line="360" w:lineRule="exact"/>
              <w:rPr>
                <w:rFonts w:eastAsia="宋体"/>
                <w:sz w:val="21"/>
                <w:szCs w:val="21"/>
              </w:rPr>
            </w:pPr>
          </w:p>
        </w:tc>
        <w:tc>
          <w:tcPr>
            <w:tcW w:w="1795"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65" w:type="dxa"/>
            <w:gridSpan w:val="10"/>
            <w:vAlign w:val="center"/>
          </w:tcPr>
          <w:p>
            <w:pPr>
              <w:snapToGrid w:val="0"/>
              <w:spacing w:after="0" w:line="360" w:lineRule="exact"/>
              <w:ind w:left="180"/>
              <w:rPr>
                <w:b/>
                <w:sz w:val="21"/>
                <w:szCs w:val="21"/>
                <w:lang w:eastAsia="zh-CN"/>
              </w:rPr>
            </w:pPr>
            <w:r>
              <w:rPr>
                <w:rFonts w:eastAsia="宋体"/>
                <w:b/>
                <w:sz w:val="21"/>
                <w:szCs w:val="21"/>
                <w:lang w:eastAsia="zh-CN"/>
              </w:rPr>
              <w:t>大纲编写时间：</w:t>
            </w:r>
            <w:r>
              <w:rPr>
                <w:rFonts w:hint="eastAsia" w:eastAsia="宋体"/>
                <w:b/>
                <w:sz w:val="21"/>
                <w:szCs w:val="21"/>
                <w:lang w:eastAsia="zh-CN"/>
              </w:rPr>
              <w:t>2019</w:t>
            </w:r>
            <w:r>
              <w:rPr>
                <w:rFonts w:hint="eastAsia"/>
                <w:b/>
                <w:sz w:val="21"/>
                <w:szCs w:val="21"/>
                <w:lang w:eastAsia="zh-CN"/>
              </w:rPr>
              <w:t>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8065" w:type="dxa"/>
            <w:gridSpan w:val="10"/>
          </w:tcPr>
          <w:p>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bookmarkStart w:id="0" w:name="_GoBack"/>
            <w:r>
              <w:rPr>
                <w:rFonts w:eastAsia="宋体"/>
                <w:sz w:val="21"/>
                <w:szCs w:val="21"/>
                <w:lang w:eastAsia="zh-CN"/>
              </w:rPr>
              <w:drawing>
                <wp:anchor distT="0" distB="0" distL="114300" distR="114300" simplePos="0" relativeHeight="251658240" behindDoc="0" locked="0" layoutInCell="1" allowOverlap="1">
                  <wp:simplePos x="0" y="0"/>
                  <wp:positionH relativeFrom="column">
                    <wp:posOffset>1277620</wp:posOffset>
                  </wp:positionH>
                  <wp:positionV relativeFrom="paragraph">
                    <wp:posOffset>220980</wp:posOffset>
                  </wp:positionV>
                  <wp:extent cx="1603375" cy="611505"/>
                  <wp:effectExtent l="0" t="0" r="15875" b="17145"/>
                  <wp:wrapNone/>
                  <wp:docPr id="1" name="图片 1" descr="吕杰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吕杰融"/>
                          <pic:cNvPicPr>
                            <a:picLocks noChangeAspect="1"/>
                          </pic:cNvPicPr>
                        </pic:nvPicPr>
                        <pic:blipFill>
                          <a:blip r:embed="rId4"/>
                          <a:stretch>
                            <a:fillRect/>
                          </a:stretch>
                        </pic:blipFill>
                        <pic:spPr>
                          <a:xfrm>
                            <a:off x="0" y="0"/>
                            <a:ext cx="1603375" cy="611505"/>
                          </a:xfrm>
                          <a:prstGeom prst="rect">
                            <a:avLst/>
                          </a:prstGeom>
                        </pic:spPr>
                      </pic:pic>
                    </a:graphicData>
                  </a:graphic>
                </wp:anchor>
              </w:drawing>
            </w:r>
            <w:bookmarkEnd w:id="0"/>
          </w:p>
          <w:p>
            <w:pPr>
              <w:spacing w:after="0" w:line="360" w:lineRule="exact"/>
              <w:ind w:right="420"/>
              <w:rPr>
                <w:rFonts w:eastAsia="宋体"/>
                <w:sz w:val="21"/>
                <w:szCs w:val="21"/>
                <w:lang w:eastAsia="zh-CN"/>
              </w:rPr>
            </w:pPr>
          </w:p>
          <w:p>
            <w:pPr>
              <w:spacing w:after="0" w:line="360" w:lineRule="exact"/>
              <w:ind w:right="420"/>
              <w:jc w:val="right"/>
              <w:rPr>
                <w:rFonts w:eastAsia="宋体"/>
                <w:sz w:val="21"/>
                <w:szCs w:val="21"/>
                <w:lang w:eastAsia="zh-CN"/>
              </w:rPr>
            </w:pPr>
            <w:r>
              <w:rPr>
                <w:rFonts w:eastAsia="宋体"/>
                <w:sz w:val="21"/>
                <w:szCs w:val="21"/>
                <w:lang w:eastAsia="zh-CN"/>
              </w:rPr>
              <w:t>系（部）主任签名：                         日期：      年    月    日</w:t>
            </w:r>
          </w:p>
          <w:p>
            <w:pPr>
              <w:snapToGrid w:val="0"/>
              <w:spacing w:after="0" w:line="360" w:lineRule="exact"/>
              <w:ind w:left="180"/>
              <w:rPr>
                <w:rFonts w:eastAsia="宋体"/>
                <w:sz w:val="21"/>
                <w:szCs w:val="21"/>
                <w:lang w:eastAsia="zh-CN"/>
              </w:rPr>
            </w:pPr>
          </w:p>
        </w:tc>
      </w:tr>
    </w:tbl>
    <w:p>
      <w:pPr>
        <w:spacing w:after="0" w:line="360" w:lineRule="exact"/>
        <w:ind w:left="738" w:hanging="738" w:hangingChars="350"/>
        <w:rPr>
          <w:rFonts w:eastAsiaTheme="minorEastAsia"/>
          <w:b/>
          <w:bCs/>
          <w:sz w:val="21"/>
          <w:szCs w:val="21"/>
          <w:lang w:eastAsia="zh-CN"/>
        </w:rPr>
      </w:pPr>
      <w:r>
        <w:rPr>
          <w:rFonts w:eastAsiaTheme="minorEastAsia"/>
          <w:b/>
          <w:bCs/>
          <w:sz w:val="21"/>
          <w:szCs w:val="21"/>
          <w:lang w:eastAsia="zh-CN"/>
        </w:rPr>
        <w:t>注：</w:t>
      </w:r>
      <w:r>
        <w:rPr>
          <w:rFonts w:hint="eastAsia" w:eastAsiaTheme="minorEastAsia"/>
          <w:b/>
          <w:bCs/>
          <w:sz w:val="21"/>
          <w:szCs w:val="21"/>
          <w:lang w:eastAsia="zh-CN"/>
        </w:rPr>
        <w:t>（正式大纲中将此部分内容删除）</w:t>
      </w:r>
    </w:p>
    <w:p>
      <w:pPr>
        <w:spacing w:after="0" w:line="360" w:lineRule="exact"/>
        <w:ind w:left="738" w:hanging="738" w:hangingChars="350"/>
        <w:rPr>
          <w:rFonts w:eastAsiaTheme="minorEastAsia"/>
          <w:b/>
          <w:bCs/>
          <w:sz w:val="21"/>
          <w:szCs w:val="21"/>
          <w:lang w:eastAsia="zh-CN"/>
        </w:rPr>
      </w:pPr>
      <w:r>
        <w:rPr>
          <w:rFonts w:eastAsiaTheme="minorEastAsia"/>
          <w:b/>
          <w:bCs/>
          <w:sz w:val="21"/>
          <w:szCs w:val="21"/>
          <w:lang w:eastAsia="zh-CN"/>
        </w:rPr>
        <w:t>1、本模板适合按周次排课的理论课程和实验课程。</w:t>
      </w:r>
    </w:p>
    <w:p>
      <w:pPr>
        <w:spacing w:after="0" w:line="360" w:lineRule="exact"/>
        <w:ind w:left="1"/>
        <w:rPr>
          <w:rFonts w:eastAsiaTheme="minorEastAsia"/>
          <w:b/>
          <w:bCs/>
          <w:sz w:val="21"/>
          <w:szCs w:val="21"/>
          <w:lang w:eastAsia="zh-CN"/>
        </w:rPr>
      </w:pPr>
      <w:r>
        <w:rPr>
          <w:rFonts w:eastAsiaTheme="minorEastAsia"/>
          <w:b/>
          <w:bCs/>
          <w:sz w:val="21"/>
          <w:szCs w:val="21"/>
          <w:lang w:eastAsia="zh-CN"/>
        </w:rPr>
        <w:t>2、教学大纲篇幅请控制在</w:t>
      </w:r>
      <w:r>
        <w:rPr>
          <w:rFonts w:hint="eastAsia" w:eastAsiaTheme="minorEastAsia"/>
          <w:b/>
          <w:bCs/>
          <w:sz w:val="21"/>
          <w:szCs w:val="21"/>
          <w:lang w:eastAsia="zh-CN"/>
        </w:rPr>
        <w:t>5</w:t>
      </w:r>
      <w:r>
        <w:rPr>
          <w:rFonts w:eastAsiaTheme="minorEastAsia"/>
          <w:b/>
          <w:bCs/>
          <w:sz w:val="21"/>
          <w:szCs w:val="21"/>
          <w:lang w:eastAsia="zh-CN"/>
        </w:rPr>
        <w:t>页以内，文件名：《课程名称》-教师姓名-授课对象，A4版面，标准页边距，段前段后0行，行距固定值18</w:t>
      </w:r>
      <w:r>
        <w:rPr>
          <w:rFonts w:hint="eastAsia" w:eastAsiaTheme="minorEastAsia"/>
          <w:b/>
          <w:bCs/>
          <w:sz w:val="21"/>
          <w:szCs w:val="21"/>
          <w:lang w:eastAsia="zh-CN"/>
        </w:rPr>
        <w:t>磅</w:t>
      </w:r>
      <w:r>
        <w:rPr>
          <w:rFonts w:eastAsiaTheme="minorEastAsia"/>
          <w:b/>
          <w:bCs/>
          <w:sz w:val="21"/>
          <w:szCs w:val="21"/>
          <w:lang w:eastAsia="zh-CN"/>
        </w:rPr>
        <w:t>，字号大小均为5号</w:t>
      </w:r>
      <w:r>
        <w:rPr>
          <w:rFonts w:hint="eastAsia" w:eastAsiaTheme="minorEastAsia"/>
          <w:b/>
          <w:bCs/>
          <w:sz w:val="21"/>
          <w:szCs w:val="21"/>
          <w:lang w:eastAsia="zh-CN"/>
        </w:rPr>
        <w:t>，</w:t>
      </w:r>
      <w:r>
        <w:rPr>
          <w:rFonts w:eastAsiaTheme="minorEastAsia"/>
          <w:b/>
          <w:bCs/>
          <w:sz w:val="21"/>
          <w:szCs w:val="21"/>
          <w:lang w:eastAsia="zh-CN"/>
        </w:rPr>
        <w:t>中文字体为宋体</w:t>
      </w:r>
      <w:r>
        <w:rPr>
          <w:rFonts w:hint="eastAsia" w:eastAsiaTheme="minorEastAsia"/>
          <w:b/>
          <w:bCs/>
          <w:sz w:val="21"/>
          <w:szCs w:val="21"/>
          <w:lang w:eastAsia="zh-CN"/>
        </w:rPr>
        <w:t>，</w:t>
      </w:r>
      <w:r>
        <w:rPr>
          <w:rFonts w:eastAsiaTheme="minorEastAsia"/>
          <w:b/>
          <w:bCs/>
          <w:sz w:val="21"/>
          <w:szCs w:val="21"/>
          <w:lang w:eastAsia="zh-CN"/>
        </w:rPr>
        <w:t>英文</w:t>
      </w:r>
      <w:r>
        <w:rPr>
          <w:rFonts w:hint="eastAsia" w:eastAsiaTheme="minorEastAsia"/>
          <w:b/>
          <w:bCs/>
          <w:sz w:val="21"/>
          <w:szCs w:val="21"/>
          <w:lang w:eastAsia="zh-CN"/>
        </w:rPr>
        <w:t>和数字</w:t>
      </w:r>
      <w:r>
        <w:rPr>
          <w:rFonts w:eastAsiaTheme="minorEastAsia"/>
          <w:b/>
          <w:bCs/>
          <w:sz w:val="21"/>
          <w:szCs w:val="21"/>
          <w:lang w:eastAsia="zh-CN"/>
        </w:rPr>
        <w:t>为Times New Roman体</w:t>
      </w:r>
      <w:r>
        <w:rPr>
          <w:rFonts w:hint="eastAsia" w:eastAsiaTheme="minorEastAsia"/>
          <w:b/>
          <w:bCs/>
          <w:sz w:val="21"/>
          <w:szCs w:val="21"/>
          <w:lang w:eastAsia="zh-CN"/>
        </w:rPr>
        <w:t>。</w:t>
      </w:r>
    </w:p>
    <w:p>
      <w:pPr>
        <w:spacing w:after="0" w:line="360" w:lineRule="exact"/>
        <w:ind w:left="1"/>
        <w:rPr>
          <w:rFonts w:eastAsiaTheme="minorEastAsia"/>
          <w:b/>
          <w:bCs/>
          <w:sz w:val="21"/>
          <w:szCs w:val="21"/>
          <w:lang w:eastAsia="zh-CN"/>
        </w:rPr>
      </w:pPr>
      <w:r>
        <w:rPr>
          <w:rFonts w:hint="eastAsia" w:eastAsiaTheme="minorEastAsia"/>
          <w:b/>
          <w:bCs/>
          <w:sz w:val="21"/>
          <w:szCs w:val="21"/>
          <w:lang w:eastAsia="zh-CN"/>
        </w:rPr>
        <w:t>3</w:t>
      </w:r>
      <w:r>
        <w:rPr>
          <w:rFonts w:eastAsiaTheme="minorEastAsia"/>
          <w:b/>
          <w:bCs/>
          <w:sz w:val="21"/>
          <w:szCs w:val="21"/>
          <w:lang w:eastAsia="zh-CN"/>
        </w:rPr>
        <w:t>、课程相关信息必须与人才培养方案一致；授课对象明确到年级、专业（方向）和班级；如果有多名教师共同授课，须列出所有教师的信息；课程考核方式须用“</w:t>
      </w:r>
      <w:r>
        <w:rPr>
          <w:rFonts w:eastAsiaTheme="minorEastAsia"/>
          <w:b/>
          <w:bCs/>
          <w:sz w:val="21"/>
          <w:szCs w:val="21"/>
          <w:lang w:eastAsia="zh-CN"/>
        </w:rPr>
        <w:sym w:font="Wingdings 2" w:char="F050"/>
      </w:r>
      <w:r>
        <w:rPr>
          <w:rFonts w:eastAsiaTheme="minorEastAsia"/>
          <w:b/>
          <w:bCs/>
          <w:sz w:val="21"/>
          <w:szCs w:val="21"/>
          <w:lang w:eastAsia="zh-CN"/>
        </w:rPr>
        <w:t>”符号勾选，必须与人才培养方案一致，如果选择“其它”考核方式，在后面须补充说明详细的考核方式。</w:t>
      </w:r>
    </w:p>
    <w:p>
      <w:pPr>
        <w:spacing w:after="0" w:line="360" w:lineRule="exact"/>
        <w:ind w:left="1"/>
        <w:rPr>
          <w:rFonts w:eastAsia="宋体"/>
          <w:b/>
          <w:sz w:val="21"/>
          <w:szCs w:val="21"/>
          <w:lang w:eastAsia="zh-CN"/>
        </w:rPr>
      </w:pPr>
      <w:r>
        <w:rPr>
          <w:rFonts w:hint="eastAsia" w:eastAsiaTheme="minorEastAsia"/>
          <w:b/>
          <w:bCs/>
          <w:color w:val="FF0000"/>
          <w:sz w:val="21"/>
          <w:szCs w:val="21"/>
          <w:lang w:eastAsia="zh-CN"/>
        </w:rPr>
        <w:t>4</w:t>
      </w:r>
      <w:r>
        <w:rPr>
          <w:rFonts w:eastAsiaTheme="minorEastAsia"/>
          <w:b/>
          <w:bCs/>
          <w:color w:val="FF0000"/>
          <w:sz w:val="21"/>
          <w:szCs w:val="21"/>
          <w:lang w:eastAsia="zh-CN"/>
        </w:rPr>
        <w:t>、课程</w:t>
      </w:r>
      <w:r>
        <w:rPr>
          <w:rFonts w:eastAsia="宋体"/>
          <w:b/>
          <w:color w:val="FF0000"/>
          <w:sz w:val="21"/>
          <w:szCs w:val="21"/>
          <w:lang w:eastAsia="zh-CN"/>
        </w:rPr>
        <w:t>教学目标：</w:t>
      </w:r>
      <w:r>
        <w:rPr>
          <w:rFonts w:hint="eastAsia" w:eastAsiaTheme="minorEastAsia"/>
          <w:b/>
          <w:bCs/>
          <w:color w:val="FF0000"/>
          <w:sz w:val="21"/>
          <w:szCs w:val="21"/>
          <w:lang w:eastAsia="zh-CN"/>
        </w:rPr>
        <w:t>课程教学</w:t>
      </w:r>
      <w:r>
        <w:rPr>
          <w:rFonts w:eastAsiaTheme="minorEastAsia"/>
          <w:b/>
          <w:bCs/>
          <w:color w:val="FF0000"/>
          <w:sz w:val="21"/>
          <w:szCs w:val="21"/>
          <w:lang w:eastAsia="zh-CN"/>
        </w:rPr>
        <w:t>须确立价值塑造、能力培养、知识传授三位一体的课程目标</w:t>
      </w:r>
      <w:r>
        <w:rPr>
          <w:rFonts w:hint="eastAsia" w:eastAsiaTheme="minorEastAsia"/>
          <w:b/>
          <w:bCs/>
          <w:color w:val="FF0000"/>
          <w:sz w:val="21"/>
          <w:szCs w:val="21"/>
          <w:lang w:eastAsia="zh-CN"/>
        </w:rPr>
        <w:t>，并</w:t>
      </w:r>
      <w:r>
        <w:rPr>
          <w:rFonts w:hint="eastAsia" w:eastAsia="宋体"/>
          <w:b/>
          <w:color w:val="FF0000"/>
          <w:sz w:val="21"/>
          <w:szCs w:val="21"/>
          <w:lang w:eastAsia="zh-CN"/>
        </w:rPr>
        <w:t>高度</w:t>
      </w:r>
      <w:r>
        <w:rPr>
          <w:rFonts w:eastAsia="宋体"/>
          <w:b/>
          <w:color w:val="FF0000"/>
          <w:sz w:val="21"/>
          <w:szCs w:val="21"/>
          <w:lang w:eastAsia="zh-CN"/>
        </w:rPr>
        <w:t>精炼概括3-5条</w:t>
      </w:r>
      <w:r>
        <w:rPr>
          <w:rFonts w:hint="eastAsia" w:eastAsia="宋体"/>
          <w:b/>
          <w:color w:val="FF0000"/>
          <w:sz w:val="21"/>
          <w:szCs w:val="21"/>
          <w:lang w:eastAsia="zh-CN"/>
        </w:rPr>
        <w:t>课程教学</w:t>
      </w:r>
      <w:r>
        <w:rPr>
          <w:rFonts w:eastAsia="宋体"/>
          <w:b/>
          <w:color w:val="FF0000"/>
          <w:sz w:val="21"/>
          <w:szCs w:val="21"/>
          <w:lang w:eastAsia="zh-CN"/>
        </w:rPr>
        <w:t>目标，注明每条目标所要求的学习目标层次（理解、运用、</w:t>
      </w:r>
      <w:r>
        <w:rPr>
          <w:rFonts w:eastAsia="宋体"/>
          <w:b/>
          <w:sz w:val="21"/>
          <w:szCs w:val="21"/>
          <w:lang w:eastAsia="zh-CN"/>
        </w:rPr>
        <w:t>分析、综合和评价）。本课程教学目标须与授课对象的专业培养目标有一定的对应关系。</w:t>
      </w:r>
    </w:p>
    <w:p>
      <w:pPr>
        <w:spacing w:after="0" w:line="360" w:lineRule="exact"/>
        <w:ind w:left="1"/>
        <w:rPr>
          <w:rFonts w:eastAsia="宋体"/>
          <w:b/>
          <w:sz w:val="21"/>
          <w:szCs w:val="21"/>
          <w:lang w:eastAsia="zh-CN"/>
        </w:rPr>
      </w:pPr>
      <w:r>
        <w:rPr>
          <w:rFonts w:hint="eastAsia" w:eastAsiaTheme="minorEastAsia"/>
          <w:b/>
          <w:bCs/>
          <w:sz w:val="21"/>
          <w:szCs w:val="21"/>
          <w:lang w:eastAsia="zh-CN"/>
        </w:rPr>
        <w:t>5</w:t>
      </w:r>
      <w:r>
        <w:rPr>
          <w:rFonts w:eastAsiaTheme="minorEastAsia"/>
          <w:b/>
          <w:bCs/>
          <w:sz w:val="21"/>
          <w:szCs w:val="21"/>
          <w:lang w:eastAsia="zh-CN"/>
        </w:rPr>
        <w:t>、</w:t>
      </w:r>
      <w:r>
        <w:rPr>
          <w:rFonts w:eastAsia="宋体"/>
          <w:b/>
          <w:sz w:val="21"/>
          <w:szCs w:val="21"/>
          <w:lang w:eastAsia="zh-CN"/>
        </w:rPr>
        <w:t>学生核心能力即毕业要求或培养要求，请任课教师从授课对象人才培养方案中对应部分复制（</w:t>
      </w:r>
      <w:r>
        <w:fldChar w:fldCharType="begin"/>
      </w:r>
      <w:r>
        <w:instrText xml:space="preserve"> HYPERLINK "http://jwc.dgut.edu.cn/" </w:instrText>
      </w:r>
      <w:r>
        <w:fldChar w:fldCharType="separate"/>
      </w:r>
      <w:r>
        <w:rPr>
          <w:rStyle w:val="10"/>
          <w:rFonts w:eastAsia="宋体"/>
          <w:b/>
          <w:color w:val="auto"/>
          <w:sz w:val="21"/>
          <w:szCs w:val="21"/>
          <w:lang w:eastAsia="zh-CN"/>
        </w:rPr>
        <w:t>http://jwc.dgut.edu.cn/</w:t>
      </w:r>
      <w:r>
        <w:rPr>
          <w:rStyle w:val="10"/>
          <w:rFonts w:eastAsia="宋体"/>
          <w:b/>
          <w:color w:val="auto"/>
          <w:sz w:val="21"/>
          <w:szCs w:val="21"/>
          <w:lang w:eastAsia="zh-CN"/>
        </w:rPr>
        <w:fldChar w:fldCharType="end"/>
      </w:r>
      <w:r>
        <w:rPr>
          <w:rFonts w:eastAsia="宋体"/>
          <w:b/>
          <w:sz w:val="21"/>
          <w:szCs w:val="21"/>
          <w:lang w:eastAsia="zh-CN"/>
        </w:rPr>
        <w:t>）。</w:t>
      </w:r>
    </w:p>
    <w:p>
      <w:pPr>
        <w:spacing w:after="0" w:line="360" w:lineRule="exact"/>
        <w:ind w:left="1"/>
        <w:rPr>
          <w:rFonts w:eastAsia="宋体"/>
          <w:b/>
          <w:sz w:val="21"/>
          <w:szCs w:val="21"/>
          <w:lang w:eastAsia="zh-CN"/>
        </w:rPr>
      </w:pPr>
      <w:r>
        <w:rPr>
          <w:rFonts w:hint="eastAsia" w:eastAsiaTheme="minorEastAsia"/>
          <w:b/>
          <w:bCs/>
          <w:color w:val="FF0000"/>
          <w:sz w:val="21"/>
          <w:szCs w:val="21"/>
          <w:lang w:eastAsia="zh-CN"/>
        </w:rPr>
        <w:t>6、结合授课要点，设计不少于3个</w:t>
      </w:r>
      <w:r>
        <w:rPr>
          <w:rFonts w:eastAsiaTheme="minorEastAsia"/>
          <w:b/>
          <w:bCs/>
          <w:color w:val="FF0000"/>
          <w:sz w:val="21"/>
          <w:szCs w:val="21"/>
          <w:lang w:eastAsia="zh-CN"/>
        </w:rPr>
        <w:t>思政育人</w:t>
      </w:r>
      <w:r>
        <w:rPr>
          <w:rFonts w:hint="eastAsia" w:eastAsiaTheme="minorEastAsia"/>
          <w:b/>
          <w:bCs/>
          <w:color w:val="FF0000"/>
          <w:sz w:val="21"/>
          <w:szCs w:val="21"/>
          <w:lang w:eastAsia="zh-CN"/>
        </w:rPr>
        <w:t>的</w:t>
      </w:r>
      <w:r>
        <w:rPr>
          <w:rFonts w:eastAsiaTheme="minorEastAsia"/>
          <w:b/>
          <w:bCs/>
          <w:color w:val="FF0000"/>
          <w:sz w:val="21"/>
          <w:szCs w:val="21"/>
          <w:lang w:eastAsia="zh-CN"/>
        </w:rPr>
        <w:t>典型教学案例</w:t>
      </w:r>
      <w:r>
        <w:rPr>
          <w:rFonts w:hint="eastAsia" w:eastAsiaTheme="minorEastAsia"/>
          <w:b/>
          <w:bCs/>
          <w:color w:val="FF0000"/>
          <w:sz w:val="21"/>
          <w:szCs w:val="21"/>
          <w:lang w:eastAsia="zh-CN"/>
        </w:rPr>
        <w:t>（</w:t>
      </w:r>
      <w:r>
        <w:rPr>
          <w:rFonts w:eastAsiaTheme="minorEastAsia"/>
          <w:b/>
          <w:bCs/>
          <w:color w:val="FF0000"/>
          <w:sz w:val="21"/>
          <w:szCs w:val="21"/>
          <w:lang w:eastAsia="zh-CN"/>
        </w:rPr>
        <w:t>思政映射与融入点</w:t>
      </w:r>
      <w:r>
        <w:rPr>
          <w:rFonts w:hint="eastAsia" w:eastAsiaTheme="minorEastAsia"/>
          <w:b/>
          <w:bCs/>
          <w:color w:val="FF0000"/>
          <w:sz w:val="21"/>
          <w:szCs w:val="21"/>
          <w:lang w:eastAsia="zh-CN"/>
        </w:rPr>
        <w:t>），并明确教学方法和考核方式</w:t>
      </w:r>
      <w:r>
        <w:rPr>
          <w:rFonts w:hint="eastAsia" w:eastAsiaTheme="minorEastAsia"/>
          <w:b/>
          <w:bCs/>
          <w:sz w:val="21"/>
          <w:szCs w:val="21"/>
          <w:lang w:eastAsia="zh-CN"/>
        </w:rPr>
        <w:t>。</w:t>
      </w:r>
    </w:p>
    <w:p>
      <w:pPr>
        <w:spacing w:after="0" w:line="360" w:lineRule="exact"/>
        <w:ind w:left="1"/>
        <w:rPr>
          <w:rFonts w:eastAsia="宋体"/>
          <w:b/>
          <w:color w:val="FF0000"/>
          <w:sz w:val="21"/>
          <w:szCs w:val="21"/>
          <w:lang w:eastAsia="zh-CN"/>
        </w:rPr>
      </w:pPr>
      <w:r>
        <w:rPr>
          <w:rFonts w:hint="eastAsia" w:eastAsiaTheme="minorEastAsia"/>
          <w:b/>
          <w:bCs/>
          <w:color w:val="FF0000"/>
          <w:sz w:val="21"/>
          <w:szCs w:val="21"/>
          <w:lang w:eastAsia="zh-CN"/>
        </w:rPr>
        <w:t>7</w:t>
      </w:r>
      <w:r>
        <w:rPr>
          <w:rFonts w:eastAsiaTheme="minorEastAsia"/>
          <w:b/>
          <w:bCs/>
          <w:color w:val="FF0000"/>
          <w:sz w:val="21"/>
          <w:szCs w:val="21"/>
          <w:lang w:eastAsia="zh-CN"/>
        </w:rPr>
        <w:t>、</w:t>
      </w:r>
      <w:r>
        <w:rPr>
          <w:rFonts w:eastAsia="宋体"/>
          <w:b/>
          <w:color w:val="FF0000"/>
          <w:sz w:val="21"/>
          <w:szCs w:val="21"/>
          <w:lang w:eastAsia="zh-CN"/>
        </w:rPr>
        <w:t>教学方式可选：</w:t>
      </w:r>
      <w:r>
        <w:rPr>
          <w:rFonts w:hint="eastAsia" w:eastAsia="宋体"/>
          <w:b/>
          <w:color w:val="FF0000"/>
          <w:sz w:val="21"/>
          <w:szCs w:val="21"/>
          <w:lang w:eastAsia="zh-CN"/>
        </w:rPr>
        <w:t>课堂</w:t>
      </w:r>
      <w:r>
        <w:rPr>
          <w:rFonts w:eastAsia="宋体"/>
          <w:b/>
          <w:color w:val="FF0000"/>
          <w:sz w:val="21"/>
          <w:szCs w:val="21"/>
          <w:lang w:eastAsia="zh-CN"/>
        </w:rPr>
        <w:t>讲授/小组讨论/实验/实训/混合式</w:t>
      </w:r>
      <w:r>
        <w:rPr>
          <w:rFonts w:hint="eastAsia" w:eastAsia="宋体"/>
          <w:b/>
          <w:color w:val="FF0000"/>
          <w:sz w:val="21"/>
          <w:szCs w:val="21"/>
          <w:lang w:eastAsia="zh-CN"/>
        </w:rPr>
        <w:t>教学</w:t>
      </w:r>
      <w:r>
        <w:rPr>
          <w:rFonts w:eastAsia="宋体"/>
          <w:b/>
          <w:color w:val="FF0000"/>
          <w:sz w:val="21"/>
          <w:szCs w:val="21"/>
          <w:lang w:eastAsia="zh-CN"/>
        </w:rPr>
        <w:t>/翻转课堂</w:t>
      </w:r>
      <w:r>
        <w:rPr>
          <w:rFonts w:hint="eastAsia" w:eastAsia="宋体"/>
          <w:b/>
          <w:color w:val="FF0000"/>
          <w:sz w:val="21"/>
          <w:szCs w:val="21"/>
          <w:lang w:eastAsia="zh-CN"/>
        </w:rPr>
        <w:t>/参观体验</w:t>
      </w:r>
    </w:p>
    <w:p>
      <w:pPr>
        <w:spacing w:after="0" w:line="360" w:lineRule="exact"/>
        <w:ind w:left="1"/>
        <w:rPr>
          <w:rFonts w:eastAsia="宋体"/>
          <w:b/>
          <w:sz w:val="21"/>
          <w:szCs w:val="21"/>
          <w:lang w:eastAsia="zh-CN"/>
        </w:rPr>
      </w:pPr>
      <w:r>
        <w:rPr>
          <w:rFonts w:hint="eastAsia" w:eastAsiaTheme="minorEastAsia"/>
          <w:b/>
          <w:bCs/>
          <w:sz w:val="21"/>
          <w:szCs w:val="21"/>
          <w:lang w:eastAsia="zh-CN"/>
        </w:rPr>
        <w:t>8</w:t>
      </w:r>
      <w:r>
        <w:rPr>
          <w:rFonts w:eastAsiaTheme="minorEastAsia"/>
          <w:b/>
          <w:bCs/>
          <w:sz w:val="21"/>
          <w:szCs w:val="21"/>
          <w:lang w:eastAsia="zh-CN"/>
        </w:rPr>
        <w:t>、</w:t>
      </w:r>
      <w:r>
        <w:rPr>
          <w:rFonts w:eastAsia="宋体"/>
          <w:b/>
          <w:sz w:val="21"/>
          <w:szCs w:val="21"/>
          <w:lang w:eastAsia="zh-CN"/>
        </w:rPr>
        <w:t>若课程无理论教学环节或无实践教学环节，可将相应的教学进度表删掉。</w:t>
      </w:r>
    </w:p>
    <w:p>
      <w:pPr>
        <w:spacing w:after="0" w:line="360" w:lineRule="exact"/>
        <w:ind w:left="1"/>
        <w:rPr>
          <w:rFonts w:eastAsiaTheme="minorEastAsia"/>
          <w:b/>
          <w:bCs/>
          <w:sz w:val="21"/>
          <w:szCs w:val="21"/>
          <w:lang w:eastAsia="zh-CN"/>
        </w:rPr>
      </w:pPr>
      <w:r>
        <w:rPr>
          <w:rFonts w:hint="eastAsia" w:eastAsiaTheme="minorEastAsia"/>
          <w:b/>
          <w:bCs/>
          <w:sz w:val="21"/>
          <w:szCs w:val="21"/>
          <w:lang w:eastAsia="zh-CN"/>
        </w:rPr>
        <w:t>9</w:t>
      </w:r>
      <w:r>
        <w:rPr>
          <w:rFonts w:eastAsiaTheme="minorEastAsia"/>
          <w:b/>
          <w:bCs/>
          <w:sz w:val="21"/>
          <w:szCs w:val="21"/>
          <w:lang w:eastAsia="zh-CN"/>
        </w:rPr>
        <w:t>、成绩评定方法及标准需要明确课程考核的具体形式（例如考勤、课后作业、期中测验、文献翻译、论文撰写、课堂测验、期末考试……）和权重，具体考核方式还须明确评价标准是等级制还是百分制？两者之间如何等价？理论课程的权重一般是按照平时成绩30%和期末成绩70%比例构成，但鼓励任课教师采取多元化评价手段，增加平时成绩权重，但建议不超过50%。教学大纲公布后，任课教师严格按照成绩评定方法及标准对学生进行评价，不可再修改教学大纲。</w:t>
      </w:r>
    </w:p>
    <w:p>
      <w:pPr>
        <w:spacing w:after="0" w:line="360" w:lineRule="exact"/>
        <w:ind w:left="1"/>
        <w:rPr>
          <w:rFonts w:eastAsiaTheme="minorEastAsia"/>
          <w:b/>
          <w:bCs/>
          <w:sz w:val="21"/>
          <w:szCs w:val="21"/>
          <w:lang w:eastAsia="zh-CN"/>
        </w:rPr>
      </w:pPr>
      <w:r>
        <w:rPr>
          <w:rFonts w:hint="eastAsia" w:eastAsiaTheme="minorEastAsia"/>
          <w:b/>
          <w:bCs/>
          <w:sz w:val="21"/>
          <w:szCs w:val="21"/>
          <w:lang w:eastAsia="zh-CN"/>
        </w:rPr>
        <w:t>10、第二周周五前，各系（部）负责人对教师提交的本学期课程教学大纲进行审核，在“系（部）审查意见”处签署意见并签名（可用电子章），并将审核过的教学大纲（PDF格式）全部上网。</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FD"/>
    <w:rsid w:val="000041EE"/>
    <w:rsid w:val="00057CB9"/>
    <w:rsid w:val="00061F27"/>
    <w:rsid w:val="0006698D"/>
    <w:rsid w:val="00074B8E"/>
    <w:rsid w:val="00087B74"/>
    <w:rsid w:val="000B626E"/>
    <w:rsid w:val="000C2D4A"/>
    <w:rsid w:val="000E0AE8"/>
    <w:rsid w:val="00113022"/>
    <w:rsid w:val="00155E5A"/>
    <w:rsid w:val="00171228"/>
    <w:rsid w:val="00172A27"/>
    <w:rsid w:val="001B31E9"/>
    <w:rsid w:val="001B6734"/>
    <w:rsid w:val="001C1F6D"/>
    <w:rsid w:val="001D28E8"/>
    <w:rsid w:val="001F20BC"/>
    <w:rsid w:val="002111AE"/>
    <w:rsid w:val="00227119"/>
    <w:rsid w:val="00295970"/>
    <w:rsid w:val="002C0D8F"/>
    <w:rsid w:val="002E27E1"/>
    <w:rsid w:val="003044FA"/>
    <w:rsid w:val="003403E2"/>
    <w:rsid w:val="0037561C"/>
    <w:rsid w:val="003C66D8"/>
    <w:rsid w:val="003E2BAB"/>
    <w:rsid w:val="003E66A6"/>
    <w:rsid w:val="00414FC8"/>
    <w:rsid w:val="00457E42"/>
    <w:rsid w:val="004826C4"/>
    <w:rsid w:val="00496C1D"/>
    <w:rsid w:val="004B3994"/>
    <w:rsid w:val="004B7C67"/>
    <w:rsid w:val="004D29DE"/>
    <w:rsid w:val="004E0481"/>
    <w:rsid w:val="004E7804"/>
    <w:rsid w:val="005639AB"/>
    <w:rsid w:val="005805E8"/>
    <w:rsid w:val="005911D3"/>
    <w:rsid w:val="005B10C8"/>
    <w:rsid w:val="005F174F"/>
    <w:rsid w:val="00631FA7"/>
    <w:rsid w:val="0063410F"/>
    <w:rsid w:val="006544A1"/>
    <w:rsid w:val="0065651C"/>
    <w:rsid w:val="00670375"/>
    <w:rsid w:val="00686AEB"/>
    <w:rsid w:val="006E1924"/>
    <w:rsid w:val="006E336F"/>
    <w:rsid w:val="006F071A"/>
    <w:rsid w:val="00733AFF"/>
    <w:rsid w:val="00735FDE"/>
    <w:rsid w:val="00770F0D"/>
    <w:rsid w:val="00776AF2"/>
    <w:rsid w:val="00781F41"/>
    <w:rsid w:val="00785779"/>
    <w:rsid w:val="0079322F"/>
    <w:rsid w:val="007A154B"/>
    <w:rsid w:val="007E750D"/>
    <w:rsid w:val="008147FF"/>
    <w:rsid w:val="00815F78"/>
    <w:rsid w:val="00825F98"/>
    <w:rsid w:val="00837BA5"/>
    <w:rsid w:val="008512DF"/>
    <w:rsid w:val="00855020"/>
    <w:rsid w:val="00885EED"/>
    <w:rsid w:val="00892ADC"/>
    <w:rsid w:val="00896971"/>
    <w:rsid w:val="008B4200"/>
    <w:rsid w:val="008F446A"/>
    <w:rsid w:val="008F6642"/>
    <w:rsid w:val="00907E3A"/>
    <w:rsid w:val="00917C66"/>
    <w:rsid w:val="00930C61"/>
    <w:rsid w:val="009349EE"/>
    <w:rsid w:val="009A2B5C"/>
    <w:rsid w:val="009B3EAE"/>
    <w:rsid w:val="009C3354"/>
    <w:rsid w:val="009D3079"/>
    <w:rsid w:val="009F076F"/>
    <w:rsid w:val="009F7907"/>
    <w:rsid w:val="00A41C45"/>
    <w:rsid w:val="00A84D68"/>
    <w:rsid w:val="00A85774"/>
    <w:rsid w:val="00AA199F"/>
    <w:rsid w:val="00AA54AA"/>
    <w:rsid w:val="00AB00C2"/>
    <w:rsid w:val="00AE48DD"/>
    <w:rsid w:val="00AF342D"/>
    <w:rsid w:val="00B05FEC"/>
    <w:rsid w:val="00B33509"/>
    <w:rsid w:val="00BB35F5"/>
    <w:rsid w:val="00BF6741"/>
    <w:rsid w:val="00C05A57"/>
    <w:rsid w:val="00C06D81"/>
    <w:rsid w:val="00C41D05"/>
    <w:rsid w:val="00C479CB"/>
    <w:rsid w:val="00C705DD"/>
    <w:rsid w:val="00C76FA2"/>
    <w:rsid w:val="00CA1AB8"/>
    <w:rsid w:val="00CC4A46"/>
    <w:rsid w:val="00CD2F8F"/>
    <w:rsid w:val="00D268B2"/>
    <w:rsid w:val="00D45246"/>
    <w:rsid w:val="00D62B41"/>
    <w:rsid w:val="00DB45CF"/>
    <w:rsid w:val="00DB5724"/>
    <w:rsid w:val="00DF5733"/>
    <w:rsid w:val="00DF5C03"/>
    <w:rsid w:val="00E0505F"/>
    <w:rsid w:val="00E27C07"/>
    <w:rsid w:val="00E413E8"/>
    <w:rsid w:val="00E53E23"/>
    <w:rsid w:val="00E67869"/>
    <w:rsid w:val="00EC2295"/>
    <w:rsid w:val="00ED3FCA"/>
    <w:rsid w:val="00F31667"/>
    <w:rsid w:val="00F617C2"/>
    <w:rsid w:val="00F641FD"/>
    <w:rsid w:val="00F96D96"/>
    <w:rsid w:val="00FA0724"/>
    <w:rsid w:val="00FE22C8"/>
    <w:rsid w:val="186A183C"/>
    <w:rsid w:val="28AD1D92"/>
    <w:rsid w:val="2C23799B"/>
    <w:rsid w:val="2DB25005"/>
    <w:rsid w:val="35FB6AC7"/>
    <w:rsid w:val="3A4448F4"/>
    <w:rsid w:val="561603F6"/>
    <w:rsid w:val="62602DFF"/>
    <w:rsid w:val="705B0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uiPriority w:val="0"/>
    <w:pPr>
      <w:spacing w:after="0"/>
    </w:pPr>
    <w:rPr>
      <w:sz w:val="18"/>
      <w:szCs w:val="18"/>
    </w:rPr>
  </w:style>
  <w:style w:type="paragraph" w:styleId="3">
    <w:name w:val="footer"/>
    <w:basedOn w:val="1"/>
    <w:link w:val="14"/>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nhideWhenUsed/>
    <w:uiPriority w:val="0"/>
    <w:rPr>
      <w:rFonts w:hint="default"/>
      <w:sz w:val="24"/>
    </w:rPr>
  </w:style>
  <w:style w:type="character" w:styleId="9">
    <w:name w:val="Emphasis"/>
    <w:basedOn w:val="7"/>
    <w:qFormat/>
    <w:uiPriority w:val="20"/>
    <w:rPr>
      <w:i/>
      <w:iCs/>
    </w:rPr>
  </w:style>
  <w:style w:type="character" w:styleId="10">
    <w:name w:val="Hyperlink"/>
    <w:basedOn w:val="7"/>
    <w:uiPriority w:val="0"/>
    <w:rPr>
      <w:color w:val="0563C1" w:themeColor="hyperlink"/>
      <w:u w:val="single"/>
      <w14:textFill>
        <w14:solidFill>
          <w14:schemeClr w14:val="hlink"/>
        </w14:solidFill>
      </w14:textFill>
    </w:r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7"/>
    <w:qFormat/>
    <w:uiPriority w:val="0"/>
    <w:rPr>
      <w:rFonts w:ascii="CIDFont + F2" w:hAnsi="CIDFont + F2" w:eastAsia="CIDFont + F2" w:cs="CIDFont + F2"/>
      <w:color w:val="000000"/>
      <w:sz w:val="20"/>
      <w:szCs w:val="20"/>
    </w:rPr>
  </w:style>
  <w:style w:type="character" w:customStyle="1" w:styleId="13">
    <w:name w:val="页眉 Char"/>
    <w:basedOn w:val="7"/>
    <w:link w:val="4"/>
    <w:qFormat/>
    <w:uiPriority w:val="0"/>
    <w:rPr>
      <w:rFonts w:eastAsia="PMingLiU"/>
      <w:sz w:val="18"/>
      <w:szCs w:val="18"/>
      <w:lang w:eastAsia="en-US"/>
    </w:rPr>
  </w:style>
  <w:style w:type="character" w:customStyle="1" w:styleId="14">
    <w:name w:val="页脚 Char"/>
    <w:basedOn w:val="7"/>
    <w:link w:val="3"/>
    <w:qFormat/>
    <w:uiPriority w:val="0"/>
    <w:rPr>
      <w:rFonts w:eastAsia="PMingLiU"/>
      <w:sz w:val="18"/>
      <w:szCs w:val="18"/>
      <w:lang w:eastAsia="en-US"/>
    </w:rPr>
  </w:style>
  <w:style w:type="paragraph" w:styleId="15">
    <w:name w:val="List Paragraph"/>
    <w:basedOn w:val="1"/>
    <w:unhideWhenUsed/>
    <w:qFormat/>
    <w:uiPriority w:val="34"/>
    <w:pPr>
      <w:ind w:firstLine="420" w:firstLineChars="200"/>
    </w:pPr>
  </w:style>
  <w:style w:type="character" w:customStyle="1" w:styleId="16">
    <w:name w:val="批注框文本 Char"/>
    <w:basedOn w:val="7"/>
    <w:link w:val="2"/>
    <w:qFormat/>
    <w:uiPriority w:val="0"/>
    <w:rPr>
      <w:rFonts w:eastAsia="PMingLiU"/>
      <w:sz w:val="18"/>
      <w:szCs w:val="18"/>
      <w:lang w:eastAsia="en-US"/>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61C6D-3E4C-4927-8BEF-4C1DFCBB2A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582</Words>
  <Characters>3322</Characters>
  <Lines>27</Lines>
  <Paragraphs>7</Paragraphs>
  <TotalTime>12</TotalTime>
  <ScaleCrop>false</ScaleCrop>
  <LinksUpToDate>false</LinksUpToDate>
  <CharactersWithSpaces>3897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2019-09-09T13:28:00Z</dcterms:created>
  <dc:creator>lenovo</dc:creator>
  <cp:lastModifiedBy>落情湖</cp:lastModifiedBy>
  <cp:lastPrinted>2017-01-05T16:24:00Z</cp:lastPrinted>
  <dcterms:modified xsi:type="dcterms:W3CDTF">2019-09-27T03:10:11Z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