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w:t>
      </w:r>
      <w:r>
        <w:rPr>
          <w:rFonts w:hint="eastAsia" w:asciiTheme="minorEastAsia" w:hAnsiTheme="minorEastAsia" w:eastAsiaTheme="minorEastAsia"/>
          <w:b/>
          <w:sz w:val="32"/>
          <w:szCs w:val="32"/>
          <w:lang w:eastAsia="zh-CN"/>
        </w:rPr>
        <w:t>微观</w:t>
      </w:r>
      <w:r>
        <w:rPr>
          <w:rFonts w:hint="eastAsia" w:ascii="宋体" w:hAnsi="宋体" w:eastAsiaTheme="minorEastAsia"/>
          <w:b/>
          <w:sz w:val="32"/>
          <w:szCs w:val="32"/>
          <w:lang w:eastAsia="zh-CN"/>
        </w:rPr>
        <w:t>经济学</w:t>
      </w:r>
      <w:r>
        <w:rPr>
          <w:rFonts w:hint="eastAsia" w:ascii="宋体" w:hAnsi="宋体"/>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50"/>
        <w:gridCol w:w="359"/>
        <w:gridCol w:w="618"/>
        <w:gridCol w:w="1483"/>
        <w:gridCol w:w="1630"/>
        <w:gridCol w:w="877"/>
        <w:gridCol w:w="688"/>
        <w:gridCol w:w="483"/>
        <w:gridCol w:w="1082"/>
      </w:tblGrid>
      <w:tr>
        <w:tblPrEx>
          <w:tblLayout w:type="fixed"/>
          <w:tblCellMar>
            <w:top w:w="0" w:type="dxa"/>
            <w:left w:w="108" w:type="dxa"/>
            <w:bottom w:w="0" w:type="dxa"/>
            <w:right w:w="108" w:type="dxa"/>
          </w:tblCellMar>
        </w:tblPrEx>
        <w:trPr>
          <w:trHeight w:val="340" w:hRule="atLeast"/>
          <w:jc w:val="center"/>
        </w:trPr>
        <w:tc>
          <w:tcPr>
            <w:tcW w:w="464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西方经济学</w:t>
            </w:r>
          </w:p>
        </w:tc>
        <w:tc>
          <w:tcPr>
            <w:tcW w:w="4760"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r>
              <w:rPr>
                <w:rFonts w:ascii="宋体" w:hAnsi="宋体" w:eastAsia="宋体"/>
                <w:sz w:val="21"/>
                <w:szCs w:val="21"/>
                <w:lang w:eastAsia="zh-CN"/>
              </w:rPr>
              <w:t>课</w:t>
            </w:r>
          </w:p>
        </w:tc>
      </w:tr>
      <w:tr>
        <w:tblPrEx>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rPr>
              <w:t>课程英文名称：</w:t>
            </w:r>
            <w:r>
              <w:rPr>
                <w:rFonts w:hint="eastAsia" w:ascii="宋体" w:hAnsi="宋体" w:eastAsia="宋体"/>
                <w:sz w:val="21"/>
                <w:szCs w:val="21"/>
              </w:rPr>
              <w:t>micro-economics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4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总学时/周学时/学分：</w:t>
            </w:r>
            <w:r>
              <w:rPr>
                <w:rFonts w:hint="eastAsia" w:ascii="宋体" w:hAnsi="宋体" w:eastAsia="宋体"/>
                <w:sz w:val="21"/>
                <w:szCs w:val="21"/>
                <w:lang w:eastAsia="zh-CN"/>
              </w:rPr>
              <w:t>4</w:t>
            </w:r>
            <w:r>
              <w:rPr>
                <w:rFonts w:ascii="宋体" w:hAnsi="宋体" w:eastAsia="宋体"/>
                <w:sz w:val="21"/>
                <w:szCs w:val="21"/>
                <w:lang w:eastAsia="zh-CN"/>
              </w:rPr>
              <w:t>5</w:t>
            </w:r>
            <w:r>
              <w:rPr>
                <w:rFonts w:hint="eastAsia" w:ascii="宋体" w:hAnsi="宋体" w:eastAsia="宋体"/>
                <w:sz w:val="21"/>
                <w:szCs w:val="21"/>
                <w:lang w:eastAsia="zh-CN"/>
              </w:rPr>
              <w:t>/3/3</w:t>
            </w:r>
          </w:p>
        </w:tc>
        <w:tc>
          <w:tcPr>
            <w:tcW w:w="4760"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其中实验学时：</w:t>
            </w:r>
            <w:r>
              <w:rPr>
                <w:rFonts w:hint="eastAsia" w:ascii="宋体" w:hAnsi="宋体" w:eastAsia="宋体"/>
                <w:sz w:val="21"/>
                <w:szCs w:val="21"/>
                <w:lang w:eastAsia="zh-CN"/>
              </w:rPr>
              <w:t>0</w:t>
            </w:r>
          </w:p>
        </w:tc>
      </w:tr>
      <w:tr>
        <w:tblPrEx>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w:t>
            </w:r>
            <w:r>
              <w:rPr>
                <w:rFonts w:hint="eastAsia" w:ascii="宋体" w:hAnsi="宋体" w:eastAsia="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41"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授课时间：</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sz w:val="21"/>
                <w:szCs w:val="21"/>
                <w:lang w:eastAsia="zh-CN"/>
              </w:rPr>
              <w:t>理论课集</w:t>
            </w:r>
            <w:r>
              <w:rPr>
                <w:rFonts w:ascii="宋体" w:hAnsi="宋体" w:eastAsia="宋体"/>
                <w:sz w:val="21"/>
                <w:szCs w:val="21"/>
                <w:lang w:eastAsia="zh-CN"/>
              </w:rPr>
              <w:t>中授课：</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sz w:val="21"/>
                <w:szCs w:val="21"/>
                <w:lang w:eastAsia="zh-CN"/>
              </w:rPr>
              <w:t>1</w:t>
            </w:r>
            <w:r>
              <w:rPr>
                <w:rFonts w:ascii="宋体" w:hAnsi="宋体" w:eastAsia="宋体"/>
                <w:sz w:val="21"/>
                <w:szCs w:val="21"/>
                <w:lang w:eastAsia="zh-CN"/>
              </w:rPr>
              <w:t>9</w:t>
            </w:r>
            <w:r>
              <w:rPr>
                <w:rFonts w:hint="eastAsia" w:ascii="宋体" w:hAnsi="宋体" w:eastAsia="宋体"/>
                <w:sz w:val="21"/>
                <w:szCs w:val="21"/>
                <w:lang w:eastAsia="zh-CN"/>
              </w:rPr>
              <w:t xml:space="preserve">粤台经济与金融专业必修班 </w:t>
            </w:r>
          </w:p>
          <w:p>
            <w:pPr>
              <w:tabs>
                <w:tab w:val="left" w:pos="1440"/>
              </w:tabs>
              <w:spacing w:after="0" w:line="0" w:lineRule="atLeast"/>
              <w:outlineLvl w:val="0"/>
              <w:rPr>
                <w:rFonts w:ascii="宋体" w:hAnsi="宋体" w:eastAsia="宋体"/>
                <w:sz w:val="21"/>
                <w:szCs w:val="21"/>
                <w:lang w:eastAsia="zh-CN"/>
              </w:rPr>
            </w:pPr>
          </w:p>
          <w:p>
            <w:pPr>
              <w:tabs>
                <w:tab w:val="left" w:pos="1440"/>
              </w:tabs>
              <w:spacing w:after="0"/>
              <w:outlineLvl w:val="0"/>
              <w:rPr>
                <w:rFonts w:ascii="宋体" w:hAnsi="宋体" w:eastAsia="宋体"/>
                <w:sz w:val="21"/>
                <w:szCs w:val="21"/>
                <w:lang w:eastAsia="zh-CN"/>
              </w:rPr>
            </w:pPr>
            <w:r>
              <w:rPr>
                <w:rFonts w:ascii="宋体" w:hAnsi="宋体" w:eastAsia="宋体"/>
                <w:sz w:val="21"/>
                <w:szCs w:val="21"/>
                <w:lang w:eastAsia="zh-CN"/>
              </w:rPr>
              <w:t>课</w:t>
            </w:r>
            <w:r>
              <w:rPr>
                <w:rFonts w:hint="eastAsia" w:ascii="宋体" w:hAnsi="宋体" w:eastAsia="宋体"/>
                <w:sz w:val="21"/>
                <w:szCs w:val="21"/>
                <w:lang w:eastAsia="zh-CN"/>
              </w:rPr>
              <w:t>程部分内容分</w:t>
            </w:r>
            <w:r>
              <w:rPr>
                <w:rFonts w:ascii="宋体" w:hAnsi="宋体" w:eastAsia="宋体"/>
                <w:sz w:val="21"/>
                <w:szCs w:val="21"/>
                <w:lang w:eastAsia="zh-CN"/>
              </w:rPr>
              <w:t>小</w:t>
            </w:r>
            <w:r>
              <w:rPr>
                <w:rFonts w:hint="eastAsia" w:ascii="宋体" w:hAnsi="宋体" w:eastAsia="宋体"/>
                <w:sz w:val="21"/>
                <w:szCs w:val="21"/>
                <w:lang w:eastAsia="zh-CN"/>
              </w:rPr>
              <w:t>组讨论。</w:t>
            </w:r>
          </w:p>
          <w:p>
            <w:pPr>
              <w:tabs>
                <w:tab w:val="left" w:pos="1440"/>
              </w:tabs>
              <w:spacing w:after="0"/>
              <w:outlineLvl w:val="0"/>
              <w:rPr>
                <w:rFonts w:ascii="宋体" w:hAnsi="宋体" w:eastAsia="宋体"/>
                <w:sz w:val="21"/>
                <w:szCs w:val="21"/>
                <w:lang w:eastAsia="zh-CN"/>
              </w:rPr>
            </w:pPr>
          </w:p>
        </w:tc>
        <w:tc>
          <w:tcPr>
            <w:tcW w:w="4760"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授课地点：</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sz w:val="21"/>
                <w:szCs w:val="21"/>
                <w:lang w:eastAsia="zh-CN"/>
              </w:rPr>
              <w:t>理论课集</w:t>
            </w:r>
            <w:r>
              <w:rPr>
                <w:rFonts w:ascii="宋体" w:hAnsi="宋体" w:eastAsia="宋体"/>
                <w:sz w:val="21"/>
                <w:szCs w:val="21"/>
                <w:lang w:eastAsia="zh-CN"/>
              </w:rPr>
              <w:t>中授课：</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实验</w:t>
            </w:r>
            <w:r>
              <w:rPr>
                <w:rFonts w:hint="eastAsia" w:ascii="宋体" w:hAnsi="宋体" w:eastAsia="宋体"/>
                <w:sz w:val="21"/>
                <w:szCs w:val="21"/>
                <w:lang w:eastAsia="zh-CN"/>
              </w:rPr>
              <w:t>楼</w:t>
            </w:r>
          </w:p>
          <w:p>
            <w:pPr>
              <w:tabs>
                <w:tab w:val="left" w:pos="1440"/>
              </w:tabs>
              <w:spacing w:after="0"/>
              <w:outlineLvl w:val="0"/>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授课对象： </w:t>
            </w:r>
            <w:r>
              <w:rPr>
                <w:rFonts w:hint="eastAsia" w:ascii="宋体" w:hAnsi="宋体" w:eastAsia="宋体"/>
                <w:sz w:val="21"/>
                <w:szCs w:val="21"/>
                <w:lang w:eastAsia="zh-CN"/>
              </w:rPr>
              <w:t>1</w:t>
            </w:r>
            <w:r>
              <w:rPr>
                <w:rFonts w:ascii="宋体" w:hAnsi="宋体" w:eastAsia="宋体"/>
                <w:sz w:val="21"/>
                <w:szCs w:val="21"/>
                <w:lang w:eastAsia="zh-CN"/>
              </w:rPr>
              <w:t>9</w:t>
            </w:r>
            <w:r>
              <w:rPr>
                <w:rFonts w:hint="eastAsia" w:ascii="宋体" w:hAnsi="宋体" w:eastAsia="宋体"/>
                <w:sz w:val="21"/>
                <w:szCs w:val="21"/>
                <w:lang w:eastAsia="zh-CN"/>
              </w:rPr>
              <w:t>粤台经济与金融专业</w:t>
            </w:r>
            <w:r>
              <w:rPr>
                <w:rFonts w:hint="eastAsia" w:ascii="宋体" w:hAnsi="宋体" w:eastAsia="宋体"/>
                <w:b/>
                <w:sz w:val="21"/>
                <w:szCs w:val="21"/>
                <w:lang w:eastAsia="zh-CN"/>
              </w:rPr>
              <w:t>必修</w:t>
            </w:r>
            <w:r>
              <w:rPr>
                <w:rFonts w:hint="eastAsia" w:ascii="宋体" w:hAnsi="宋体"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 xml:space="preserve"> 经济与金融系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w:t>
            </w:r>
            <w:r>
              <w:rPr>
                <w:rFonts w:hint="eastAsia" w:asciiTheme="minorEastAsia" w:hAnsiTheme="minorEastAsia" w:eastAsiaTheme="minorEastAsia"/>
                <w:lang w:eastAsia="zh-CN"/>
              </w:rPr>
              <w:t>黄灯奎</w:t>
            </w:r>
            <w:r>
              <w:rPr>
                <w:rFonts w:hint="eastAsia" w:ascii="宋体" w:hAnsi="宋体"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41" w:type="dxa"/>
            <w:gridSpan w:val="5"/>
            <w:vAlign w:val="center"/>
          </w:tcPr>
          <w:p>
            <w:pPr>
              <w:tabs>
                <w:tab w:val="left" w:pos="1440"/>
              </w:tabs>
              <w:spacing w:after="0"/>
              <w:outlineLvl w:val="0"/>
              <w:rPr>
                <w:rFonts w:ascii="宋体" w:hAnsi="宋体"/>
                <w:sz w:val="21"/>
                <w:szCs w:val="21"/>
                <w:lang w:eastAsia="zh-TW"/>
              </w:rPr>
            </w:pPr>
            <w:r>
              <w:rPr>
                <w:rFonts w:hint="eastAsia" w:ascii="宋体" w:hAnsi="宋体" w:eastAsia="宋体"/>
                <w:b/>
                <w:sz w:val="21"/>
                <w:szCs w:val="21"/>
                <w:lang w:eastAsia="zh-CN"/>
              </w:rPr>
              <w:t>联系电话：</w:t>
            </w:r>
            <w:r>
              <w:rPr>
                <w:rFonts w:hint="eastAsia" w:ascii="宋体" w:hAnsi="宋体" w:eastAsia="宋体"/>
                <w:sz w:val="21"/>
                <w:szCs w:val="21"/>
                <w:lang w:eastAsia="zh-CN"/>
              </w:rPr>
              <w:t xml:space="preserve"> 135</w:t>
            </w:r>
            <w:r>
              <w:rPr>
                <w:rFonts w:ascii="宋体" w:hAnsi="宋体" w:eastAsia="宋体"/>
                <w:sz w:val="21"/>
                <w:szCs w:val="21"/>
                <w:lang w:eastAsia="zh-CN"/>
              </w:rPr>
              <w:t>32887200</w:t>
            </w:r>
          </w:p>
        </w:tc>
        <w:tc>
          <w:tcPr>
            <w:tcW w:w="4760" w:type="dxa"/>
            <w:gridSpan w:val="5"/>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 xml:space="preserve"> </w:t>
            </w:r>
            <w:r>
              <w:rPr>
                <w:rFonts w:ascii="宋体" w:hAnsi="宋体" w:eastAsia="宋体"/>
                <w:bCs/>
                <w:sz w:val="21"/>
                <w:szCs w:val="21"/>
                <w:lang w:eastAsia="zh-CN"/>
              </w:rPr>
              <w:t>1485601532</w:t>
            </w:r>
            <w:r>
              <w:rPr>
                <w:rFonts w:hint="eastAsia" w:ascii="宋体" w:hAnsi="宋体" w:eastAsia="宋体"/>
                <w:bCs/>
                <w:sz w:val="21"/>
                <w:szCs w:val="21"/>
                <w:lang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eastAsia="宋体"/>
                <w:sz w:val="21"/>
                <w:szCs w:val="21"/>
                <w:lang w:eastAsia="zh-CN"/>
              </w:rPr>
              <w:t>课</w:t>
            </w:r>
            <w:r>
              <w:rPr>
                <w:rFonts w:ascii="宋体" w:hAnsi="宋体" w:eastAsia="宋体"/>
                <w:sz w:val="21"/>
                <w:szCs w:val="21"/>
                <w:lang w:eastAsia="zh-CN"/>
              </w:rPr>
              <w:t>前、课后</w:t>
            </w:r>
            <w:r>
              <w:rPr>
                <w:rFonts w:hint="eastAsia" w:ascii="宋体" w:hAnsi="宋体" w:eastAsia="宋体"/>
                <w:sz w:val="21"/>
                <w:szCs w:val="21"/>
                <w:lang w:eastAsia="zh-CN"/>
              </w:rPr>
              <w:t>，教室</w:t>
            </w:r>
            <w:r>
              <w:rPr>
                <w:rFonts w:ascii="宋体" w:hAnsi="宋体" w:eastAsia="宋体"/>
                <w:sz w:val="21"/>
                <w:szCs w:val="21"/>
                <w:lang w:eastAsia="zh-CN"/>
              </w:rPr>
              <w:t>，交流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numPr>
                <w:ilvl w:val="0"/>
                <w:numId w:val="1"/>
              </w:numPr>
              <w:tabs>
                <w:tab w:val="left" w:pos="1440"/>
              </w:tabs>
              <w:spacing w:after="0"/>
              <w:outlineLvl w:val="0"/>
              <w:rPr>
                <w:rFonts w:ascii="宋体" w:hAnsi="宋体" w:eastAsia="宋体"/>
                <w:bCs/>
                <w:sz w:val="21"/>
                <w:szCs w:val="21"/>
                <w:lang w:eastAsia="zh-CN"/>
              </w:rPr>
            </w:pPr>
            <w:r>
              <w:rPr>
                <w:rFonts w:hint="eastAsia" w:ascii="宋体" w:hAnsi="宋体" w:eastAsia="宋体"/>
                <w:b/>
                <w:bCs/>
                <w:sz w:val="21"/>
                <w:szCs w:val="21"/>
                <w:lang w:eastAsia="zh-CN"/>
              </w:rPr>
              <w:t>使用教材：</w:t>
            </w:r>
            <w:r>
              <w:rPr>
                <w:rFonts w:hint="eastAsia" w:ascii="宋体" w:hAnsi="宋体" w:eastAsia="宋体"/>
                <w:bCs/>
                <w:sz w:val="21"/>
                <w:szCs w:val="21"/>
                <w:lang w:eastAsia="zh-CN"/>
              </w:rPr>
              <w:t>西方经济学.上册/《西方经济学》编写组编.—北京：高等教育出版社：中国人民大学出版社，2</w:t>
            </w:r>
            <w:r>
              <w:rPr>
                <w:rFonts w:ascii="宋体" w:hAnsi="宋体" w:eastAsia="宋体"/>
                <w:bCs/>
                <w:sz w:val="21"/>
                <w:szCs w:val="21"/>
                <w:lang w:eastAsia="zh-CN"/>
              </w:rPr>
              <w:t>012.12</w:t>
            </w:r>
          </w:p>
          <w:p>
            <w:pPr>
              <w:tabs>
                <w:tab w:val="left" w:pos="1440"/>
              </w:tabs>
              <w:spacing w:after="0"/>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p>
          <w:p>
            <w:pPr>
              <w:tabs>
                <w:tab w:val="left" w:pos="1440"/>
              </w:tabs>
              <w:spacing w:after="0"/>
              <w:outlineLvl w:val="0"/>
              <w:rPr>
                <w:rFonts w:ascii="宋体" w:hAnsi="宋体" w:eastAsia="宋体"/>
                <w:bCs/>
                <w:sz w:val="21"/>
                <w:szCs w:val="21"/>
                <w:lang w:eastAsia="zh-CN"/>
              </w:rPr>
            </w:pPr>
            <w:r>
              <w:rPr>
                <w:rFonts w:hint="eastAsia" w:ascii="宋体" w:hAnsi="宋体" w:eastAsia="宋体"/>
                <w:bCs/>
                <w:sz w:val="21"/>
                <w:szCs w:val="21"/>
                <w:lang w:eastAsia="zh-CN"/>
              </w:rPr>
              <w:t>1.林秀清等主编，《经济学基础》，南京大学出版，2015</w:t>
            </w:r>
          </w:p>
          <w:p>
            <w:pPr>
              <w:numPr>
                <w:ilvl w:val="0"/>
                <w:numId w:val="1"/>
              </w:numPr>
              <w:tabs>
                <w:tab w:val="left" w:pos="1440"/>
              </w:tabs>
              <w:spacing w:after="0"/>
              <w:outlineLvl w:val="0"/>
              <w:rPr>
                <w:rFonts w:ascii="宋体" w:hAnsi="宋体" w:eastAsia="宋体"/>
                <w:bCs/>
                <w:sz w:val="21"/>
                <w:szCs w:val="21"/>
                <w:lang w:eastAsia="zh-CN"/>
              </w:rPr>
            </w:pPr>
            <w:r>
              <w:rPr>
                <w:rFonts w:hint="eastAsia" w:ascii="宋体" w:hAnsi="宋体" w:eastAsia="宋体"/>
                <w:bCs/>
                <w:sz w:val="21"/>
                <w:szCs w:val="21"/>
                <w:lang w:eastAsia="zh-CN"/>
              </w:rPr>
              <w:t>何璋主编， 《西方经济学》，中国财政经济出版社，2010年6月第2版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spacing w:after="0" w:line="400" w:lineRule="exact"/>
              <w:ind w:left="150" w:right="226" w:firstLine="480" w:firstLineChars="200"/>
              <w:rPr>
                <w:rFonts w:ascii="宋体" w:hAnsi="宋体" w:eastAsia="宋体"/>
                <w:sz w:val="21"/>
                <w:szCs w:val="21"/>
                <w:lang w:eastAsia="zh-CN"/>
              </w:rPr>
            </w:pPr>
            <w:r>
              <w:rPr>
                <w:rFonts w:hint="eastAsia" w:eastAsia="宋体" w:cs="宋体"/>
                <w:color w:val="333333"/>
                <w:szCs w:val="21"/>
                <w:shd w:val="clear" w:color="auto" w:fill="FFFFFF"/>
                <w:lang w:eastAsia="zh-CN"/>
              </w:rPr>
              <w:t>《西方经济学》微观部分，是经济类专业和软件专业的一门专业基础课，</w:t>
            </w:r>
            <w:r>
              <w:rPr>
                <w:rFonts w:ascii="方正书宋简体" w:hAnsi="方正书宋简体" w:eastAsia="方正书宋简体" w:cs="方正书宋简体"/>
                <w:color w:val="333333"/>
                <w:szCs w:val="21"/>
                <w:shd w:val="clear" w:color="auto" w:fill="FFFFFF"/>
                <w:lang w:eastAsia="zh-CN"/>
              </w:rPr>
              <w:t>主要内容包括：需求、供给与均衡价格，消费者行为理论，生产</w:t>
            </w:r>
            <w:r>
              <w:rPr>
                <w:rFonts w:hint="eastAsia" w:ascii="方正书宋简体" w:hAnsi="方正书宋简体" w:eastAsia="方正书宋简体" w:cs="方正书宋简体"/>
                <w:color w:val="333333"/>
                <w:szCs w:val="21"/>
                <w:shd w:val="clear" w:color="auto" w:fill="FFFFFF"/>
                <w:lang w:eastAsia="zh-CN"/>
              </w:rPr>
              <w:t>函数</w:t>
            </w:r>
            <w:r>
              <w:rPr>
                <w:rFonts w:ascii="方正书宋简体" w:hAnsi="方正书宋简体" w:eastAsia="方正书宋简体" w:cs="方正书宋简体"/>
                <w:color w:val="333333"/>
                <w:szCs w:val="21"/>
                <w:shd w:val="clear" w:color="auto" w:fill="FFFFFF"/>
                <w:lang w:eastAsia="zh-CN"/>
              </w:rPr>
              <w:t>，成本理论，市场理论，要素分配理论，微观经济政策</w:t>
            </w:r>
            <w:r>
              <w:rPr>
                <w:rFonts w:hint="eastAsia" w:ascii="方正书宋简体" w:hAnsi="方正书宋简体" w:eastAsia="方正书宋简体" w:cs="方正书宋简体"/>
                <w:color w:val="333333"/>
                <w:szCs w:val="21"/>
                <w:shd w:val="clear" w:color="auto" w:fill="FFFFFF"/>
                <w:lang w:eastAsia="zh-CN"/>
              </w:rPr>
              <w:t>，博弈论，市场失灵等</w:t>
            </w:r>
            <w:r>
              <w:rPr>
                <w:rFonts w:ascii="方正书宋简体" w:hAnsi="方正书宋简体" w:eastAsia="方正书宋简体" w:cs="方正书宋简体"/>
                <w:color w:val="333333"/>
                <w:szCs w:val="21"/>
                <w:shd w:val="clear" w:color="auto" w:fill="FFFFFF"/>
                <w:lang w:eastAsia="zh-CN"/>
              </w:rPr>
              <w:t>。通过本课程的学习，使学生对</w:t>
            </w:r>
            <w:r>
              <w:rPr>
                <w:rFonts w:hint="eastAsia" w:ascii="方正书宋简体" w:hAnsi="方正书宋简体" w:eastAsia="方正书宋简体" w:cs="方正书宋简体"/>
                <w:color w:val="333333"/>
                <w:szCs w:val="21"/>
                <w:shd w:val="clear" w:color="auto" w:fill="FFFFFF"/>
                <w:lang w:eastAsia="zh-CN"/>
              </w:rPr>
              <w:t>微观</w:t>
            </w:r>
            <w:r>
              <w:rPr>
                <w:rFonts w:ascii="方正书宋简体" w:hAnsi="方正书宋简体" w:eastAsia="方正书宋简体" w:cs="方正书宋简体"/>
                <w:color w:val="333333"/>
                <w:szCs w:val="21"/>
                <w:shd w:val="clear" w:color="auto" w:fill="FFFFFF"/>
                <w:lang w:eastAsia="zh-CN"/>
              </w:rPr>
              <w:t>经济学的基本问题和基本观点有比较全面的认识，掌握</w:t>
            </w:r>
            <w:r>
              <w:rPr>
                <w:rFonts w:hint="eastAsia" w:ascii="方正书宋简体" w:hAnsi="方正书宋简体" w:eastAsia="方正书宋简体" w:cs="方正书宋简体"/>
                <w:color w:val="333333"/>
                <w:szCs w:val="21"/>
                <w:shd w:val="clear" w:color="auto" w:fill="FFFFFF"/>
                <w:lang w:eastAsia="zh-CN"/>
              </w:rPr>
              <w:t>微观</w:t>
            </w:r>
            <w:r>
              <w:rPr>
                <w:rFonts w:ascii="方正书宋简体" w:hAnsi="方正书宋简体" w:eastAsia="方正书宋简体" w:cs="方正书宋简体"/>
                <w:color w:val="333333"/>
                <w:szCs w:val="21"/>
                <w:shd w:val="clear" w:color="auto" w:fill="FFFFFF"/>
                <w:lang w:eastAsia="zh-CN"/>
              </w:rPr>
              <w:t>经济学的基本概念、基本思想、基本分析方法和基本理论，建立起对</w:t>
            </w:r>
            <w:r>
              <w:rPr>
                <w:rFonts w:hint="eastAsia" w:ascii="方正书宋简体" w:hAnsi="方正书宋简体" w:eastAsia="方正书宋简体" w:cs="方正书宋简体"/>
                <w:color w:val="333333"/>
                <w:szCs w:val="21"/>
                <w:shd w:val="clear" w:color="auto" w:fill="FFFFFF"/>
                <w:lang w:eastAsia="zh-CN"/>
              </w:rPr>
              <w:t>微观</w:t>
            </w:r>
            <w:r>
              <w:rPr>
                <w:rFonts w:ascii="方正书宋简体" w:hAnsi="方正书宋简体" w:eastAsia="方正书宋简体" w:cs="方正书宋简体"/>
                <w:color w:val="333333"/>
                <w:szCs w:val="21"/>
                <w:shd w:val="clear" w:color="auto" w:fill="FFFFFF"/>
                <w:lang w:eastAsia="zh-CN"/>
              </w:rPr>
              <w:t>经济运行的基本思维框架，为进一步学习其它专业课程和专业研究打下理论基础。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71" w:type="dxa"/>
            <w:gridSpan w:val="6"/>
          </w:tcPr>
          <w:p>
            <w:pPr>
              <w:tabs>
                <w:tab w:val="left" w:pos="1440"/>
              </w:tabs>
              <w:spacing w:after="0"/>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根据教育部《东莞理工学院“课程思政”教育改革工作方案》（莞工党办[</w:t>
            </w:r>
            <w:r>
              <w:rPr>
                <w:rFonts w:ascii="宋体" w:hAnsi="宋体" w:eastAsia="宋体"/>
                <w:bCs/>
                <w:sz w:val="21"/>
                <w:szCs w:val="21"/>
                <w:lang w:eastAsia="zh-CN"/>
              </w:rPr>
              <w:t>2019]10</w:t>
            </w:r>
            <w:r>
              <w:rPr>
                <w:rFonts w:hint="eastAsia" w:ascii="宋体" w:hAnsi="宋体" w:eastAsia="宋体"/>
                <w:bCs/>
                <w:sz w:val="21"/>
                <w:szCs w:val="21"/>
                <w:lang w:eastAsia="zh-CN"/>
              </w:rPr>
              <w:t>号），以及学校的人才培养目标和学生的实际情况，将本课程的教学目标确定为：</w:t>
            </w:r>
          </w:p>
          <w:p>
            <w:pPr>
              <w:tabs>
                <w:tab w:val="left" w:pos="1440"/>
              </w:tabs>
              <w:spacing w:after="0"/>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知识目标：</w:t>
            </w:r>
          </w:p>
          <w:p>
            <w:pPr>
              <w:spacing w:after="0"/>
              <w:ind w:firstLine="420" w:firstLineChars="200"/>
              <w:rPr>
                <w:rFonts w:ascii="宋体" w:hAnsi="宋体" w:eastAsia="宋体"/>
                <w:sz w:val="21"/>
                <w:szCs w:val="21"/>
                <w:lang w:eastAsia="zh-CN"/>
              </w:rPr>
            </w:pPr>
            <w:r>
              <w:rPr>
                <w:rFonts w:hint="eastAsia" w:ascii="宋体" w:hAnsi="宋体" w:eastAsia="宋体"/>
                <w:sz w:val="21"/>
                <w:szCs w:val="21"/>
                <w:lang w:eastAsia="zh-CN"/>
              </w:rPr>
              <w:t>1．了解微观经济学的各种概念原理、分析方法及推导过程。</w:t>
            </w:r>
          </w:p>
          <w:p>
            <w:pPr>
              <w:spacing w:after="0"/>
              <w:ind w:firstLine="420" w:firstLineChars="200"/>
              <w:rPr>
                <w:rFonts w:ascii="宋体" w:hAnsi="宋体" w:eastAsia="宋体"/>
                <w:sz w:val="21"/>
                <w:szCs w:val="21"/>
                <w:lang w:eastAsia="zh-CN"/>
              </w:rPr>
            </w:pPr>
            <w:r>
              <w:rPr>
                <w:rFonts w:hint="eastAsia" w:ascii="宋体" w:hAnsi="宋体" w:eastAsia="宋体"/>
                <w:sz w:val="21"/>
                <w:szCs w:val="21"/>
                <w:lang w:eastAsia="zh-CN"/>
              </w:rPr>
              <w:t>2．重点理解和掌握市场经济中产品的供给与需求曲线、消费者行为理论、生产与成本的关系、各种市场情况的性质与特点、生产要素、以及各类政府的微观经济政策。</w:t>
            </w:r>
          </w:p>
          <w:p>
            <w:pPr>
              <w:tabs>
                <w:tab w:val="left" w:pos="1440"/>
              </w:tabs>
              <w:spacing w:after="0"/>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3．熟悉微观经济中的边际分析、市场失灵与干预、博弈论、一般均衡与福利经济学等。</w:t>
            </w:r>
          </w:p>
          <w:p>
            <w:pPr>
              <w:tabs>
                <w:tab w:val="left" w:pos="1440"/>
              </w:tabs>
              <w:spacing w:after="0"/>
              <w:ind w:firstLine="420" w:firstLineChars="200"/>
              <w:outlineLvl w:val="0"/>
              <w:rPr>
                <w:rFonts w:ascii="宋体" w:hAnsi="宋体" w:eastAsia="宋体"/>
                <w:bCs/>
                <w:sz w:val="21"/>
                <w:szCs w:val="21"/>
                <w:lang w:eastAsia="zh-CN"/>
              </w:rPr>
            </w:pPr>
            <w:r>
              <w:rPr>
                <w:rFonts w:hint="eastAsia" w:ascii="宋体" w:hAnsi="宋体" w:eastAsia="宋体"/>
                <w:sz w:val="21"/>
                <w:szCs w:val="21"/>
                <w:lang w:eastAsia="zh-CN"/>
              </w:rPr>
              <w:t>能力目标：</w:t>
            </w:r>
          </w:p>
          <w:p>
            <w:pPr>
              <w:tabs>
                <w:tab w:val="left" w:pos="1440"/>
              </w:tabs>
              <w:spacing w:after="0"/>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1．微观经济学是经济贸易类专业和金融类专业的基础课，直接培养学生的经济问题的分析能力，并为后续的专业课奠定基础。 </w:t>
            </w:r>
          </w:p>
          <w:p>
            <w:pPr>
              <w:pStyle w:val="15"/>
              <w:tabs>
                <w:tab w:val="left" w:pos="1440"/>
              </w:tabs>
              <w:spacing w:after="0"/>
              <w:ind w:left="420" w:firstLine="0" w:firstLineChars="0"/>
              <w:outlineLvl w:val="0"/>
              <w:rPr>
                <w:rFonts w:ascii="宋体" w:hAnsi="宋体" w:eastAsia="宋体"/>
                <w:sz w:val="21"/>
                <w:szCs w:val="21"/>
                <w:lang w:eastAsia="zh-CN"/>
              </w:rPr>
            </w:pPr>
            <w:r>
              <w:rPr>
                <w:rFonts w:hint="eastAsia" w:ascii="宋体" w:hAnsi="宋体" w:eastAsia="宋体"/>
                <w:sz w:val="21"/>
                <w:szCs w:val="21"/>
                <w:lang w:eastAsia="zh-CN"/>
              </w:rPr>
              <w:t>素质目标：</w:t>
            </w:r>
          </w:p>
          <w:p>
            <w:pPr>
              <w:pStyle w:val="15"/>
              <w:tabs>
                <w:tab w:val="left" w:pos="1440"/>
              </w:tabs>
              <w:spacing w:after="0"/>
              <w:ind w:left="420" w:firstLine="0" w:firstLineChars="0"/>
              <w:outlineLvl w:val="0"/>
              <w:rPr>
                <w:rFonts w:ascii="宋体" w:hAnsi="宋体" w:eastAsia="宋体"/>
                <w:sz w:val="21"/>
                <w:szCs w:val="21"/>
                <w:lang w:eastAsia="zh-CN"/>
              </w:rPr>
            </w:pPr>
            <w:r>
              <w:rPr>
                <w:rFonts w:ascii="宋体" w:hAnsi="宋体" w:eastAsia="宋体"/>
                <w:sz w:val="21"/>
                <w:szCs w:val="21"/>
                <w:lang w:eastAsia="zh-CN"/>
              </w:rPr>
              <w:t>1.</w:t>
            </w:r>
            <w:r>
              <w:rPr>
                <w:rFonts w:hint="eastAsia" w:ascii="宋体" w:hAnsi="宋体" w:eastAsia="宋体"/>
                <w:sz w:val="21"/>
                <w:szCs w:val="21"/>
                <w:lang w:eastAsia="zh-CN"/>
              </w:rPr>
              <w:t>使学生掌握微观经济学基本理论、知识，并能用这些理论和知识分析、处理现实经济生活中的问题。</w:t>
            </w:r>
          </w:p>
          <w:p>
            <w:pPr>
              <w:spacing w:after="0"/>
              <w:ind w:firstLine="420" w:firstLineChars="200"/>
              <w:rPr>
                <w:rFonts w:ascii="宋体" w:hAnsi="宋体" w:eastAsia="宋体"/>
                <w:sz w:val="21"/>
                <w:szCs w:val="21"/>
                <w:lang w:eastAsia="zh-CN"/>
              </w:rPr>
            </w:pPr>
          </w:p>
        </w:tc>
        <w:tc>
          <w:tcPr>
            <w:tcW w:w="3130" w:type="dxa"/>
            <w:gridSpan w:val="4"/>
          </w:tcPr>
          <w:p>
            <w:pPr>
              <w:tabs>
                <w:tab w:val="left" w:pos="1440"/>
              </w:tabs>
              <w:spacing w:after="0"/>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p>
          <w:p>
            <w:pPr>
              <w:tabs>
                <w:tab w:val="left" w:pos="1440"/>
              </w:tabs>
              <w:spacing w:after="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r>
              <w:rPr>
                <w:rFonts w:hint="eastAsia" w:ascii="宋体" w:hAnsi="宋体" w:eastAsia="宋体"/>
                <w:sz w:val="21"/>
                <w:szCs w:val="21"/>
                <w:lang w:eastAsia="zh-CN"/>
              </w:rPr>
              <w:t>树立坚定、正确的政治方向具备刻苦学习、团结协作、实事求是的科学精神具有强烈的社会责任感和良好的职业道德基础。</w:t>
            </w:r>
          </w:p>
          <w:p>
            <w:pPr>
              <w:tabs>
                <w:tab w:val="left" w:pos="1440"/>
              </w:tabs>
              <w:spacing w:after="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r>
              <w:rPr>
                <w:rFonts w:hint="eastAsia" w:ascii="宋体" w:hAnsi="宋体" w:eastAsia="宋体"/>
                <w:sz w:val="21"/>
                <w:szCs w:val="21"/>
                <w:lang w:eastAsia="zh-CN"/>
              </w:rPr>
              <w:t>具有扎实的经济学专业知识基础，熟悉现代西方经济学理论，了解应用经济学领域的发展动态，熟悉我国经济政策和法规，了解市场经济的运行机制，具有一定的企业经营管理能力；</w:t>
            </w:r>
          </w:p>
          <w:p>
            <w:pPr>
              <w:tabs>
                <w:tab w:val="left" w:pos="1440"/>
              </w:tabs>
              <w:spacing w:after="0"/>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3. </w:t>
            </w:r>
            <w:r>
              <w:rPr>
                <w:rFonts w:hint="eastAsia" w:ascii="宋体" w:hAnsi="宋体" w:eastAsia="宋体"/>
                <w:sz w:val="21"/>
                <w:szCs w:val="21"/>
                <w:lang w:eastAsia="zh-CN"/>
              </w:rPr>
              <w:t>具有扎实的数学基础，熟练掌握计算机的基础知识和上机操作技能，能够运用各种专业软件从事经济工作；</w:t>
            </w:r>
          </w:p>
          <w:p>
            <w:pPr>
              <w:tabs>
                <w:tab w:val="left" w:pos="1440"/>
              </w:tabs>
              <w:spacing w:after="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4. </w:t>
            </w:r>
            <w:r>
              <w:rPr>
                <w:rFonts w:hint="eastAsia" w:ascii="宋体" w:hAnsi="宋体" w:eastAsia="宋体"/>
                <w:sz w:val="21"/>
                <w:szCs w:val="21"/>
                <w:lang w:eastAsia="zh-CN"/>
              </w:rPr>
              <w:t>具有创新意识和开拓能力以及团队精神与合作意识，具有较强的组织管理能力和领导艺术；</w:t>
            </w:r>
          </w:p>
          <w:p>
            <w:pPr>
              <w:tabs>
                <w:tab w:val="left" w:pos="1440"/>
              </w:tabs>
              <w:spacing w:after="0"/>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5. </w:t>
            </w:r>
            <w:r>
              <w:rPr>
                <w:rFonts w:hint="eastAsia" w:ascii="宋体" w:hAnsi="宋体" w:eastAsia="宋体"/>
                <w:sz w:val="21"/>
                <w:szCs w:val="21"/>
                <w:lang w:eastAsia="zh-CN"/>
              </w:rPr>
              <w:t>具有一定的体育和军事知识养成良好的体育锻炼习惯，具有健全的心理</w:t>
            </w:r>
          </w:p>
          <w:p>
            <w:pPr>
              <w:tabs>
                <w:tab w:val="left" w:pos="1440"/>
              </w:tabs>
              <w:spacing w:after="0"/>
              <w:outlineLvl w:val="0"/>
              <w:rPr>
                <w:rFonts w:ascii="宋体" w:hAnsi="宋体" w:eastAsia="宋体"/>
                <w:sz w:val="21"/>
                <w:szCs w:val="21"/>
                <w:lang w:eastAsia="zh-CN"/>
              </w:rPr>
            </w:pPr>
            <w:r>
              <w:rPr>
                <w:rFonts w:hint="eastAsia" w:ascii="宋体" w:hAnsi="宋体" w:eastAsia="宋体"/>
                <w:sz w:val="21"/>
                <w:szCs w:val="21"/>
                <w:lang w:eastAsia="zh-CN"/>
              </w:rPr>
              <w:t>素质和健康的体魄。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0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1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3990"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1171"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82"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170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引论</w:t>
            </w:r>
          </w:p>
        </w:tc>
        <w:tc>
          <w:tcPr>
            <w:tcW w:w="618" w:type="dxa"/>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2</w:t>
            </w:r>
          </w:p>
        </w:tc>
        <w:tc>
          <w:tcPr>
            <w:tcW w:w="3990"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课程思政融入点：马克思主义思想理论经济建设，中国经济的发展历程，引导学生对国家经济建设的了解；</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使学生了解经济学的这一理论体系的基本框架,明确经济学的研究对象，掌握经济学的基本内容,了解经济学的发展简史和主要研究方法。</w:t>
            </w:r>
          </w:p>
        </w:tc>
        <w:tc>
          <w:tcPr>
            <w:tcW w:w="117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w:t>
            </w:r>
            <w:r>
              <w:rPr>
                <w:rFonts w:ascii="宋体" w:hAnsi="宋体" w:eastAsia="宋体"/>
                <w:sz w:val="21"/>
                <w:szCs w:val="21"/>
                <w:lang w:eastAsia="zh-CN"/>
              </w:rPr>
              <w:t>授</w:t>
            </w:r>
          </w:p>
        </w:tc>
        <w:tc>
          <w:tcPr>
            <w:tcW w:w="1082"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170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需求、供给和均衡价格</w:t>
            </w:r>
          </w:p>
        </w:tc>
        <w:tc>
          <w:tcPr>
            <w:tcW w:w="618" w:type="dxa"/>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3</w:t>
            </w:r>
          </w:p>
        </w:tc>
        <w:tc>
          <w:tcPr>
            <w:tcW w:w="3990"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在了解需求和供给的基本理论、掌握供求规律的基础上，深刻理解并掌握价格形成的条件、过程、变动及其对经济的调节，能运用弹性理论分析、解决一些实际经济问题。</w:t>
            </w:r>
          </w:p>
        </w:tc>
        <w:tc>
          <w:tcPr>
            <w:tcW w:w="117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p>
        </w:tc>
        <w:tc>
          <w:tcPr>
            <w:tcW w:w="1082"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170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消费者选择</w:t>
            </w:r>
          </w:p>
        </w:tc>
        <w:tc>
          <w:tcPr>
            <w:tcW w:w="618" w:type="dxa"/>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4</w:t>
            </w:r>
          </w:p>
        </w:tc>
        <w:tc>
          <w:tcPr>
            <w:tcW w:w="3990"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使学生了解效用、基数效用论、序数效用论、消费者均衡、消费者剩余等基本概念，理解边际效用递减规律、边际替代率递减规律的含义，能够运用边际效用分析法和无差异曲线分析法来说明消费者均衡的实现，把握收入效应、替代效应与价格效应三者之间的内在联系。</w:t>
            </w:r>
          </w:p>
        </w:tc>
        <w:tc>
          <w:tcPr>
            <w:tcW w:w="117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r>
              <w:rPr>
                <w:rFonts w:hint="eastAsia" w:ascii="宋体" w:hAnsi="宋体" w:eastAsia="宋体"/>
                <w:sz w:val="21"/>
                <w:szCs w:val="21"/>
                <w:lang w:eastAsia="zh-CN"/>
              </w:rPr>
              <w:t>+小</w:t>
            </w:r>
            <w:r>
              <w:rPr>
                <w:rFonts w:ascii="宋体" w:hAnsi="宋体" w:eastAsia="宋体"/>
                <w:sz w:val="21"/>
                <w:szCs w:val="21"/>
                <w:lang w:eastAsia="zh-CN"/>
              </w:rPr>
              <w:t>组</w:t>
            </w:r>
            <w:r>
              <w:rPr>
                <w:rFonts w:hint="eastAsia" w:ascii="宋体" w:hAnsi="宋体" w:eastAsia="宋体"/>
                <w:sz w:val="21"/>
                <w:szCs w:val="21"/>
                <w:lang w:eastAsia="zh-CN"/>
              </w:rPr>
              <w:t>讨论</w:t>
            </w:r>
          </w:p>
        </w:tc>
        <w:tc>
          <w:tcPr>
            <w:tcW w:w="1082"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170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企业的生产和成本</w:t>
            </w:r>
          </w:p>
        </w:tc>
        <w:tc>
          <w:tcPr>
            <w:tcW w:w="618" w:type="dxa"/>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7</w:t>
            </w:r>
          </w:p>
        </w:tc>
        <w:tc>
          <w:tcPr>
            <w:tcW w:w="3990"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了解生产、生产函数、脊线、生产扩展线等基本概念，掌握总产量、平均产量与边际产量的变动规律和它们之间的相互关系，真正理解边际报酬递减规律的意义、规模报酬和两种生产要素最适组合的原则。了解短期成本与长期成本的划分标准；理解成本、收益与利润之间的关系；掌握并运用利润最大化原则说明厂商在生产经营中如何才能实现利润的最大化。</w:t>
            </w:r>
          </w:p>
        </w:tc>
        <w:tc>
          <w:tcPr>
            <w:tcW w:w="117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r>
              <w:rPr>
                <w:rFonts w:hint="eastAsia" w:ascii="宋体" w:hAnsi="宋体" w:eastAsia="宋体"/>
                <w:sz w:val="21"/>
                <w:szCs w:val="21"/>
                <w:lang w:eastAsia="zh-CN"/>
              </w:rPr>
              <w:t>+小</w:t>
            </w:r>
            <w:r>
              <w:rPr>
                <w:rFonts w:ascii="宋体" w:hAnsi="宋体" w:eastAsia="宋体"/>
                <w:sz w:val="21"/>
                <w:szCs w:val="21"/>
                <w:lang w:eastAsia="zh-CN"/>
              </w:rPr>
              <w:t>组</w:t>
            </w:r>
            <w:r>
              <w:rPr>
                <w:rFonts w:hint="eastAsia" w:ascii="宋体" w:hAnsi="宋体" w:eastAsia="宋体"/>
                <w:sz w:val="21"/>
                <w:szCs w:val="21"/>
                <w:lang w:eastAsia="zh-CN"/>
              </w:rPr>
              <w:t>讨论</w:t>
            </w:r>
          </w:p>
        </w:tc>
        <w:tc>
          <w:tcPr>
            <w:tcW w:w="1082"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Borders>
              <w:bottom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5</w:t>
            </w:r>
          </w:p>
        </w:tc>
        <w:tc>
          <w:tcPr>
            <w:tcW w:w="1709"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完全竞争市场</w:t>
            </w:r>
          </w:p>
        </w:tc>
        <w:tc>
          <w:tcPr>
            <w:tcW w:w="618" w:type="dxa"/>
            <w:tcBorders>
              <w:bottom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5</w:t>
            </w:r>
          </w:p>
        </w:tc>
        <w:tc>
          <w:tcPr>
            <w:tcW w:w="3990" w:type="dxa"/>
            <w:gridSpan w:val="3"/>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首先，了解市场的划分标准、类别和特点，掌握完全竞争市场的形成条件、特点，厂商所面临的需求曲线和收益曲线；其次，能分析说明完全竞争厂商在不同条件下的均衡状况，理解厂商的最优决策，推导短期和长期内厂商及行业的供给曲线。</w:t>
            </w:r>
          </w:p>
        </w:tc>
        <w:tc>
          <w:tcPr>
            <w:tcW w:w="1171"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p>
        </w:tc>
        <w:tc>
          <w:tcPr>
            <w:tcW w:w="1082"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Borders>
              <w:bottom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6</w:t>
            </w:r>
          </w:p>
        </w:tc>
        <w:tc>
          <w:tcPr>
            <w:tcW w:w="1709"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不完全竞争的市场</w:t>
            </w:r>
          </w:p>
        </w:tc>
        <w:tc>
          <w:tcPr>
            <w:tcW w:w="618" w:type="dxa"/>
            <w:tcBorders>
              <w:bottom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5</w:t>
            </w:r>
          </w:p>
        </w:tc>
        <w:tc>
          <w:tcPr>
            <w:tcW w:w="3990" w:type="dxa"/>
            <w:gridSpan w:val="3"/>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首先应明确不同市场的形成条件，知道不同市场厂商所面临的需求曲线和收益曲线；其次，熟练掌握不同市场情况下厂商均衡的条件和厂商的最优市场决策，最后能分析不同市场厂商的资源配置效率。</w:t>
            </w:r>
          </w:p>
        </w:tc>
        <w:tc>
          <w:tcPr>
            <w:tcW w:w="1171"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r>
              <w:rPr>
                <w:rFonts w:hint="eastAsia" w:ascii="宋体" w:hAnsi="宋体" w:eastAsia="宋体"/>
                <w:sz w:val="21"/>
                <w:szCs w:val="21"/>
                <w:lang w:eastAsia="zh-CN"/>
              </w:rPr>
              <w:t>+小</w:t>
            </w:r>
            <w:r>
              <w:rPr>
                <w:rFonts w:ascii="宋体" w:hAnsi="宋体" w:eastAsia="宋体"/>
                <w:sz w:val="21"/>
                <w:szCs w:val="21"/>
                <w:lang w:eastAsia="zh-CN"/>
              </w:rPr>
              <w:t>组</w:t>
            </w:r>
            <w:r>
              <w:rPr>
                <w:rFonts w:hint="eastAsia" w:ascii="宋体" w:hAnsi="宋体" w:eastAsia="宋体"/>
                <w:sz w:val="21"/>
                <w:szCs w:val="21"/>
                <w:lang w:eastAsia="zh-CN"/>
              </w:rPr>
              <w:t>讨论</w:t>
            </w:r>
          </w:p>
        </w:tc>
        <w:tc>
          <w:tcPr>
            <w:tcW w:w="1082"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7</w:t>
            </w:r>
          </w:p>
        </w:tc>
        <w:tc>
          <w:tcPr>
            <w:tcW w:w="1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生产要素市场和收入分配</w:t>
            </w:r>
          </w:p>
        </w:tc>
        <w:tc>
          <w:tcPr>
            <w:tcW w:w="61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5</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分析完全市场条件下，厂商对生产要素的需求原则，主要生产要素供给状况，以及收入分配的平等程度的衡量。</w:t>
            </w:r>
          </w:p>
        </w:tc>
        <w:tc>
          <w:tcPr>
            <w:tcW w:w="1171"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p>
        </w:tc>
        <w:tc>
          <w:tcPr>
            <w:tcW w:w="108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8</w:t>
            </w:r>
          </w:p>
        </w:tc>
        <w:tc>
          <w:tcPr>
            <w:tcW w:w="1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一般均衡和效率</w:t>
            </w:r>
          </w:p>
        </w:tc>
        <w:tc>
          <w:tcPr>
            <w:tcW w:w="61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从总体角度分析生产、交易的均衡含义和条件，说明帕累托效率的体制要求。</w:t>
            </w:r>
          </w:p>
        </w:tc>
        <w:tc>
          <w:tcPr>
            <w:tcW w:w="1171"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r>
              <w:rPr>
                <w:rFonts w:hint="eastAsia" w:ascii="宋体" w:hAnsi="宋体" w:eastAsia="宋体"/>
                <w:sz w:val="21"/>
                <w:szCs w:val="21"/>
                <w:lang w:eastAsia="zh-CN"/>
              </w:rPr>
              <w:t>+小</w:t>
            </w:r>
            <w:r>
              <w:rPr>
                <w:rFonts w:ascii="宋体" w:hAnsi="宋体" w:eastAsia="宋体"/>
                <w:sz w:val="21"/>
                <w:szCs w:val="21"/>
                <w:lang w:eastAsia="zh-CN"/>
              </w:rPr>
              <w:t>组</w:t>
            </w:r>
            <w:r>
              <w:rPr>
                <w:rFonts w:hint="eastAsia" w:ascii="宋体" w:hAnsi="宋体" w:eastAsia="宋体"/>
                <w:sz w:val="21"/>
                <w:szCs w:val="21"/>
                <w:lang w:eastAsia="zh-CN"/>
              </w:rPr>
              <w:t>讨论</w:t>
            </w:r>
          </w:p>
        </w:tc>
        <w:tc>
          <w:tcPr>
            <w:tcW w:w="108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9</w:t>
            </w:r>
          </w:p>
        </w:tc>
        <w:tc>
          <w:tcPr>
            <w:tcW w:w="1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市场失灵与微观经济政策</w:t>
            </w:r>
          </w:p>
        </w:tc>
        <w:tc>
          <w:tcPr>
            <w:tcW w:w="61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以垄断、外部性、公共产品及非对称信息为前提，分析市场机制的失灵及其政府的作用。学习本章主要从一般意义上知道导致市场失灵的原因及其解决的方法。</w:t>
            </w:r>
          </w:p>
        </w:tc>
        <w:tc>
          <w:tcPr>
            <w:tcW w:w="1171"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r>
              <w:rPr>
                <w:rFonts w:hint="eastAsia" w:ascii="宋体" w:hAnsi="宋体" w:eastAsia="宋体"/>
                <w:sz w:val="21"/>
                <w:szCs w:val="21"/>
                <w:lang w:eastAsia="zh-CN"/>
              </w:rPr>
              <w:t>+小</w:t>
            </w:r>
            <w:r>
              <w:rPr>
                <w:rFonts w:ascii="宋体" w:hAnsi="宋体" w:eastAsia="宋体"/>
                <w:sz w:val="21"/>
                <w:szCs w:val="21"/>
                <w:lang w:eastAsia="zh-CN"/>
              </w:rPr>
              <w:t>组</w:t>
            </w:r>
            <w:r>
              <w:rPr>
                <w:rFonts w:hint="eastAsia" w:ascii="宋体" w:hAnsi="宋体" w:eastAsia="宋体"/>
                <w:sz w:val="21"/>
                <w:szCs w:val="21"/>
                <w:lang w:eastAsia="zh-CN"/>
              </w:rPr>
              <w:t>讨论</w:t>
            </w:r>
          </w:p>
        </w:tc>
        <w:tc>
          <w:tcPr>
            <w:tcW w:w="108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10</w:t>
            </w:r>
          </w:p>
        </w:tc>
        <w:tc>
          <w:tcPr>
            <w:tcW w:w="1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复习总</w:t>
            </w:r>
            <w:r>
              <w:rPr>
                <w:rFonts w:ascii="宋体" w:hAnsi="宋体" w:eastAsia="宋体"/>
                <w:sz w:val="21"/>
                <w:szCs w:val="21"/>
                <w:lang w:eastAsia="zh-CN"/>
              </w:rPr>
              <w:t>结</w:t>
            </w:r>
          </w:p>
        </w:tc>
        <w:tc>
          <w:tcPr>
            <w:tcW w:w="61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3</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w:t>
            </w:r>
            <w:r>
              <w:rPr>
                <w:rFonts w:ascii="宋体" w:hAnsi="宋体" w:eastAsia="宋体"/>
                <w:sz w:val="21"/>
                <w:szCs w:val="21"/>
                <w:lang w:eastAsia="zh-CN"/>
              </w:rPr>
              <w:t>总结</w:t>
            </w:r>
            <w:r>
              <w:rPr>
                <w:rFonts w:hint="eastAsia" w:ascii="宋体" w:hAnsi="宋体" w:eastAsia="宋体"/>
                <w:sz w:val="21"/>
                <w:szCs w:val="21"/>
                <w:lang w:eastAsia="zh-CN"/>
              </w:rPr>
              <w:t>，课程复习</w:t>
            </w:r>
            <w:r>
              <w:rPr>
                <w:rFonts w:ascii="宋体" w:hAnsi="宋体" w:eastAsia="宋体"/>
                <w:sz w:val="21"/>
                <w:szCs w:val="21"/>
                <w:lang w:eastAsia="zh-CN"/>
              </w:rPr>
              <w:t>，</w:t>
            </w:r>
            <w:r>
              <w:rPr>
                <w:rFonts w:hint="eastAsia" w:ascii="宋体" w:hAnsi="宋体" w:eastAsia="宋体"/>
                <w:sz w:val="21"/>
                <w:szCs w:val="21"/>
                <w:lang w:eastAsia="zh-CN"/>
              </w:rPr>
              <w:t>课程</w:t>
            </w:r>
            <w:r>
              <w:rPr>
                <w:rFonts w:ascii="宋体" w:hAnsi="宋体" w:eastAsia="宋体"/>
                <w:sz w:val="21"/>
                <w:szCs w:val="21"/>
                <w:lang w:eastAsia="zh-CN"/>
              </w:rPr>
              <w:t>答疑</w:t>
            </w:r>
          </w:p>
        </w:tc>
        <w:tc>
          <w:tcPr>
            <w:tcW w:w="1171"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w:t>
            </w:r>
            <w:r>
              <w:rPr>
                <w:rFonts w:ascii="宋体" w:hAnsi="宋体" w:eastAsia="宋体"/>
                <w:sz w:val="21"/>
                <w:szCs w:val="21"/>
                <w:lang w:eastAsia="zh-CN"/>
              </w:rPr>
              <w:t>讲授</w:t>
            </w:r>
            <w:r>
              <w:rPr>
                <w:rFonts w:hint="eastAsia" w:ascii="宋体" w:hAnsi="宋体" w:eastAsia="宋体"/>
                <w:sz w:val="21"/>
                <w:szCs w:val="21"/>
                <w:lang w:eastAsia="zh-CN"/>
              </w:rPr>
              <w:t>+答疑</w:t>
            </w:r>
          </w:p>
        </w:tc>
        <w:tc>
          <w:tcPr>
            <w:tcW w:w="108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40" w:type="dxa"/>
            <w:gridSpan w:val="3"/>
            <w:tcBorders>
              <w:top w:val="single" w:color="auto" w:sz="4" w:space="0"/>
            </w:tcBorders>
            <w:vAlign w:val="center"/>
          </w:tcPr>
          <w:p>
            <w:pPr>
              <w:spacing w:after="0" w:line="0" w:lineRule="atLeast"/>
              <w:jc w:val="right"/>
              <w:rPr>
                <w:rFonts w:ascii="宋体" w:hAnsi="宋体" w:eastAsia="宋体"/>
                <w:sz w:val="21"/>
                <w:szCs w:val="21"/>
              </w:rPr>
            </w:pPr>
            <w:r>
              <w:rPr>
                <w:rFonts w:hint="eastAsia" w:ascii="宋体" w:hAnsi="宋体" w:eastAsia="宋体"/>
                <w:b/>
                <w:sz w:val="21"/>
                <w:szCs w:val="21"/>
              </w:rPr>
              <w:t>合计：</w:t>
            </w:r>
          </w:p>
        </w:tc>
        <w:tc>
          <w:tcPr>
            <w:tcW w:w="618" w:type="dxa"/>
            <w:tcBorders>
              <w:top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r>
              <w:rPr>
                <w:rFonts w:ascii="宋体" w:hAnsi="宋体" w:eastAsia="宋体"/>
                <w:sz w:val="21"/>
                <w:szCs w:val="21"/>
                <w:lang w:eastAsia="zh-CN"/>
              </w:rPr>
              <w:t>5</w:t>
            </w:r>
          </w:p>
        </w:tc>
        <w:tc>
          <w:tcPr>
            <w:tcW w:w="3990" w:type="dxa"/>
            <w:gridSpan w:val="3"/>
            <w:tcBorders>
              <w:top w:val="single" w:color="auto" w:sz="4" w:space="0"/>
            </w:tcBorders>
            <w:vAlign w:val="center"/>
          </w:tcPr>
          <w:p>
            <w:pPr>
              <w:spacing w:after="0" w:line="0" w:lineRule="atLeast"/>
              <w:rPr>
                <w:rFonts w:ascii="宋体" w:hAnsi="宋体" w:eastAsia="宋体"/>
                <w:sz w:val="21"/>
                <w:szCs w:val="21"/>
              </w:rPr>
            </w:pPr>
          </w:p>
        </w:tc>
        <w:tc>
          <w:tcPr>
            <w:tcW w:w="1171" w:type="dxa"/>
            <w:gridSpan w:val="2"/>
            <w:tcBorders>
              <w:top w:val="single" w:color="auto" w:sz="4" w:space="0"/>
            </w:tcBorders>
            <w:vAlign w:val="center"/>
          </w:tcPr>
          <w:p>
            <w:pPr>
              <w:spacing w:after="0" w:line="0" w:lineRule="atLeast"/>
              <w:rPr>
                <w:rFonts w:ascii="宋体" w:hAnsi="宋体" w:eastAsia="宋体"/>
                <w:sz w:val="21"/>
                <w:szCs w:val="21"/>
              </w:rPr>
            </w:pPr>
          </w:p>
        </w:tc>
        <w:tc>
          <w:tcPr>
            <w:tcW w:w="1082"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1"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655"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65"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vMerge w:val="restart"/>
            <w:vAlign w:val="center"/>
          </w:tcPr>
          <w:p>
            <w:pPr>
              <w:snapToGrid w:val="0"/>
              <w:spacing w:after="0" w:line="0" w:lineRule="atLeast"/>
              <w:jc w:val="center"/>
              <w:rPr>
                <w:rFonts w:ascii="宋体" w:hAnsi="宋体" w:eastAsia="宋体"/>
                <w:sz w:val="21"/>
                <w:szCs w:val="21"/>
                <w:lang w:eastAsia="zh-CN"/>
              </w:rPr>
            </w:pPr>
            <w:r>
              <w:rPr>
                <w:rFonts w:hint="eastAsia" w:ascii="宋体" w:hAnsi="宋体" w:eastAsia="宋体"/>
                <w:sz w:val="21"/>
                <w:szCs w:val="21"/>
                <w:lang w:eastAsia="zh-CN"/>
              </w:rPr>
              <w:t>作业</w:t>
            </w:r>
          </w:p>
        </w:tc>
        <w:tc>
          <w:tcPr>
            <w:tcW w:w="1350" w:type="dxa"/>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习题</w:t>
            </w:r>
          </w:p>
        </w:tc>
        <w:tc>
          <w:tcPr>
            <w:tcW w:w="5655"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不</w:t>
            </w:r>
            <w:r>
              <w:rPr>
                <w:rFonts w:ascii="宋体" w:hAnsi="宋体" w:eastAsia="宋体"/>
                <w:sz w:val="21"/>
                <w:szCs w:val="21"/>
                <w:lang w:eastAsia="zh-CN"/>
              </w:rPr>
              <w:t>抄袭，独立完成，</w:t>
            </w:r>
            <w:r>
              <w:rPr>
                <w:rFonts w:hint="eastAsia" w:ascii="宋体" w:hAnsi="宋体" w:eastAsia="宋体"/>
                <w:sz w:val="21"/>
                <w:szCs w:val="21"/>
                <w:lang w:eastAsia="zh-CN"/>
              </w:rPr>
              <w:t>书</w:t>
            </w:r>
            <w:r>
              <w:rPr>
                <w:rFonts w:ascii="宋体" w:hAnsi="宋体" w:eastAsia="宋体"/>
                <w:sz w:val="21"/>
                <w:szCs w:val="21"/>
                <w:lang w:eastAsia="zh-CN"/>
              </w:rPr>
              <w:t>写工整，答题正确</w:t>
            </w:r>
          </w:p>
        </w:tc>
        <w:tc>
          <w:tcPr>
            <w:tcW w:w="1565" w:type="dxa"/>
            <w:gridSpan w:val="2"/>
            <w:vAlign w:val="center"/>
          </w:tcPr>
          <w:p>
            <w:pPr>
              <w:snapToGrid w:val="0"/>
              <w:spacing w:after="0" w:line="0" w:lineRule="atLeast"/>
              <w:ind w:left="180"/>
              <w:rPr>
                <w:rFonts w:ascii="宋体" w:hAnsi="宋体" w:eastAsia="宋体"/>
                <w:sz w:val="21"/>
                <w:szCs w:val="21"/>
                <w:lang w:eastAsia="zh-CN"/>
              </w:rPr>
            </w:pPr>
            <w:r>
              <w:rPr>
                <w:rFonts w:hint="eastAsia" w:ascii="宋体" w:hAnsi="宋体" w:eastAsia="宋体"/>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1" w:type="dxa"/>
            <w:vMerge w:val="continue"/>
            <w:vAlign w:val="center"/>
          </w:tcPr>
          <w:p>
            <w:pPr>
              <w:snapToGrid w:val="0"/>
              <w:spacing w:after="0" w:line="0" w:lineRule="atLeast"/>
              <w:rPr>
                <w:rFonts w:ascii="宋体" w:hAnsi="宋体" w:eastAsia="宋体"/>
                <w:sz w:val="21"/>
                <w:szCs w:val="21"/>
                <w:lang w:eastAsia="zh-CN"/>
              </w:rPr>
            </w:pPr>
          </w:p>
        </w:tc>
        <w:tc>
          <w:tcPr>
            <w:tcW w:w="1350" w:type="dxa"/>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小组讨论</w:t>
            </w:r>
          </w:p>
        </w:tc>
        <w:tc>
          <w:tcPr>
            <w:tcW w:w="5655"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积极参与，独立思考，讨论结论</w:t>
            </w:r>
          </w:p>
        </w:tc>
        <w:tc>
          <w:tcPr>
            <w:tcW w:w="1565"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eastAsia="宋体"/>
                <w:sz w:val="21"/>
                <w:szCs w:val="21"/>
                <w:lang w:eastAsia="zh-CN"/>
              </w:rPr>
              <w:t>5</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31" w:type="dxa"/>
            <w:vAlign w:val="center"/>
          </w:tcPr>
          <w:p>
            <w:pPr>
              <w:snapToGrid w:val="0"/>
              <w:spacing w:after="0" w:line="0" w:lineRule="atLeast"/>
              <w:jc w:val="center"/>
              <w:rPr>
                <w:rFonts w:ascii="宋体" w:hAnsi="宋体" w:eastAsia="宋体"/>
                <w:sz w:val="21"/>
                <w:szCs w:val="21"/>
                <w:lang w:eastAsia="zh-CN"/>
              </w:rPr>
            </w:pPr>
            <w:r>
              <w:rPr>
                <w:rFonts w:hint="eastAsia" w:ascii="宋体" w:hAnsi="宋体" w:eastAsia="宋体"/>
                <w:sz w:val="21"/>
                <w:szCs w:val="21"/>
                <w:lang w:eastAsia="zh-CN"/>
              </w:rPr>
              <w:t>出勤</w:t>
            </w:r>
          </w:p>
        </w:tc>
        <w:tc>
          <w:tcPr>
            <w:tcW w:w="1350" w:type="dxa"/>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签到或点名</w:t>
            </w:r>
          </w:p>
        </w:tc>
        <w:tc>
          <w:tcPr>
            <w:tcW w:w="5655"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迟到、缺课、旷课节数</w:t>
            </w:r>
          </w:p>
        </w:tc>
        <w:tc>
          <w:tcPr>
            <w:tcW w:w="1565"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eastAsia="宋体"/>
                <w:sz w:val="21"/>
                <w:szCs w:val="21"/>
                <w:lang w:eastAsia="zh-CN"/>
              </w:rPr>
              <w:t>15</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1"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期中</w:t>
            </w:r>
            <w:r>
              <w:rPr>
                <w:rFonts w:ascii="宋体" w:hAnsi="宋体" w:eastAsia="宋体"/>
                <w:sz w:val="21"/>
                <w:szCs w:val="21"/>
                <w:lang w:eastAsia="zh-CN"/>
              </w:rPr>
              <w:t>考试</w:t>
            </w:r>
          </w:p>
        </w:tc>
        <w:tc>
          <w:tcPr>
            <w:tcW w:w="5655"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书</w:t>
            </w:r>
            <w:r>
              <w:rPr>
                <w:rFonts w:ascii="宋体" w:hAnsi="宋体" w:eastAsia="宋体"/>
                <w:sz w:val="21"/>
                <w:szCs w:val="21"/>
                <w:lang w:eastAsia="zh-CN"/>
              </w:rPr>
              <w:t>写工整，</w:t>
            </w:r>
            <w:r>
              <w:rPr>
                <w:rFonts w:hint="eastAsia" w:ascii="宋体" w:hAnsi="宋体" w:eastAsia="宋体"/>
                <w:sz w:val="21"/>
                <w:szCs w:val="21"/>
                <w:lang w:eastAsia="zh-CN"/>
              </w:rPr>
              <w:t>答题</w:t>
            </w:r>
            <w:r>
              <w:rPr>
                <w:rFonts w:ascii="宋体" w:hAnsi="宋体" w:eastAsia="宋体"/>
                <w:sz w:val="21"/>
                <w:szCs w:val="21"/>
                <w:lang w:eastAsia="zh-CN"/>
              </w:rPr>
              <w:t>正确</w:t>
            </w:r>
          </w:p>
        </w:tc>
        <w:tc>
          <w:tcPr>
            <w:tcW w:w="1565"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eastAsia="宋体"/>
                <w:sz w:val="21"/>
                <w:szCs w:val="21"/>
                <w:lang w:eastAsia="zh-CN"/>
              </w:rPr>
              <w:t>20</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1"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期末</w:t>
            </w:r>
            <w:r>
              <w:rPr>
                <w:rFonts w:ascii="宋体" w:hAnsi="宋体" w:eastAsia="宋体"/>
                <w:sz w:val="21"/>
                <w:szCs w:val="21"/>
                <w:lang w:eastAsia="zh-CN"/>
              </w:rPr>
              <w:t>考试</w:t>
            </w:r>
          </w:p>
        </w:tc>
        <w:tc>
          <w:tcPr>
            <w:tcW w:w="5655"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书</w:t>
            </w:r>
            <w:r>
              <w:rPr>
                <w:rFonts w:ascii="宋体" w:hAnsi="宋体" w:eastAsia="宋体"/>
                <w:sz w:val="21"/>
                <w:szCs w:val="21"/>
                <w:lang w:eastAsia="zh-CN"/>
              </w:rPr>
              <w:t>写工整，</w:t>
            </w:r>
            <w:r>
              <w:rPr>
                <w:rFonts w:hint="eastAsia" w:ascii="宋体" w:hAnsi="宋体" w:eastAsia="宋体"/>
                <w:sz w:val="21"/>
                <w:szCs w:val="21"/>
                <w:lang w:eastAsia="zh-CN"/>
              </w:rPr>
              <w:t>答题</w:t>
            </w:r>
            <w:r>
              <w:rPr>
                <w:rFonts w:ascii="宋体" w:hAnsi="宋体" w:eastAsia="宋体"/>
                <w:sz w:val="21"/>
                <w:szCs w:val="21"/>
                <w:lang w:eastAsia="zh-CN"/>
              </w:rPr>
              <w:t>正确</w:t>
            </w:r>
          </w:p>
        </w:tc>
        <w:tc>
          <w:tcPr>
            <w:tcW w:w="1565"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eastAsia="宋体"/>
                <w:sz w:val="21"/>
                <w:szCs w:val="21"/>
                <w:lang w:eastAsia="zh-CN"/>
              </w:rPr>
              <w:t>5</w:t>
            </w:r>
            <w:r>
              <w:rPr>
                <w:rFonts w:hint="eastAsia" w:ascii="宋体" w:hAnsi="宋体" w:eastAsia="宋体"/>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大纲编写时间：201</w:t>
            </w:r>
            <w:r>
              <w:rPr>
                <w:rFonts w:ascii="宋体" w:hAnsi="宋体" w:eastAsia="宋体"/>
                <w:b/>
                <w:sz w:val="21"/>
                <w:szCs w:val="21"/>
                <w:lang w:eastAsia="zh-CN"/>
              </w:rPr>
              <w:t>9</w:t>
            </w:r>
            <w:r>
              <w:rPr>
                <w:rFonts w:hint="eastAsia" w:ascii="宋体" w:hAnsi="宋体" w:eastAsia="宋体"/>
                <w:b/>
                <w:sz w:val="21"/>
                <w:szCs w:val="21"/>
                <w:lang w:eastAsia="zh-CN"/>
              </w:rPr>
              <w:t>年9月</w:t>
            </w:r>
            <w:r>
              <w:rPr>
                <w:rFonts w:ascii="宋体" w:hAnsi="宋体" w:eastAsia="宋体"/>
                <w:b/>
                <w:sz w:val="21"/>
                <w:szCs w:val="21"/>
                <w:lang w:eastAsia="zh-CN"/>
              </w:rPr>
              <w:t>9</w:t>
            </w:r>
            <w:r>
              <w:rPr>
                <w:rFonts w:hint="eastAsia" w:ascii="宋体" w:hAnsi="宋体" w:eastAsia="宋体"/>
                <w:b/>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1" w:hRule="atLeast"/>
          <w:jc w:val="center"/>
        </w:trPr>
        <w:tc>
          <w:tcPr>
            <w:tcW w:w="9401" w:type="dxa"/>
            <w:gridSpan w:val="10"/>
          </w:tcPr>
          <w:p>
            <w:pPr>
              <w:tabs>
                <w:tab w:val="left" w:pos="1440"/>
              </w:tabs>
              <w:spacing w:after="0" w:line="0" w:lineRule="atLeast"/>
              <w:jc w:val="left"/>
              <w:outlineLvl w:val="0"/>
              <w:rPr>
                <w:rFonts w:ascii="宋体" w:hAnsi="宋体" w:eastAsia="宋体"/>
                <w:b/>
                <w:sz w:val="21"/>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6" w:firstLineChars="27"/>
              <w:jc w:val="left"/>
              <w:rPr>
                <w:rFonts w:ascii="宋体" w:hAnsi="宋体" w:eastAsia="宋体"/>
                <w:b/>
                <w:sz w:val="21"/>
                <w:szCs w:val="21"/>
                <w:lang w:eastAsia="zh-CN"/>
              </w:rPr>
            </w:pPr>
            <w:bookmarkStart w:id="0" w:name="_GoBack"/>
            <w:r>
              <w:rPr>
                <w:rFonts w:ascii="宋体" w:hAnsi="宋体" w:eastAsia="宋体"/>
                <w:sz w:val="21"/>
                <w:szCs w:val="21"/>
                <w:lang w:eastAsia="zh-CN"/>
              </w:rPr>
              <w:drawing>
                <wp:anchor distT="0" distB="0" distL="114300" distR="114300" simplePos="0" relativeHeight="251658240" behindDoc="0" locked="0" layoutInCell="1" allowOverlap="1">
                  <wp:simplePos x="0" y="0"/>
                  <wp:positionH relativeFrom="column">
                    <wp:posOffset>1329690</wp:posOffset>
                  </wp:positionH>
                  <wp:positionV relativeFrom="paragraph">
                    <wp:posOffset>139065</wp:posOffset>
                  </wp:positionV>
                  <wp:extent cx="1510665" cy="850900"/>
                  <wp:effectExtent l="0" t="0" r="13335" b="6350"/>
                  <wp:wrapSquare wrapText="bothSides"/>
                  <wp:docPr id="1" name="图片 1" descr="谢松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松霖"/>
                          <pic:cNvPicPr>
                            <a:picLocks noChangeAspect="1"/>
                          </pic:cNvPicPr>
                        </pic:nvPicPr>
                        <pic:blipFill>
                          <a:blip r:embed="rId5"/>
                          <a:stretch>
                            <a:fillRect/>
                          </a:stretch>
                        </pic:blipFill>
                        <pic:spPr>
                          <a:xfrm>
                            <a:off x="0" y="0"/>
                            <a:ext cx="1510665" cy="850900"/>
                          </a:xfrm>
                          <a:prstGeom prst="rect">
                            <a:avLst/>
                          </a:prstGeom>
                        </pic:spPr>
                      </pic:pic>
                    </a:graphicData>
                  </a:graphic>
                </wp:anchor>
              </w:drawing>
            </w:r>
            <w:bookmarkEnd w:id="0"/>
          </w:p>
          <w:p>
            <w:pPr>
              <w:spacing w:after="0" w:line="0" w:lineRule="atLeast"/>
              <w:ind w:firstLine="945" w:firstLineChars="450"/>
              <w:rPr>
                <w:rFonts w:ascii="宋体" w:hAnsi="宋体" w:eastAsia="宋体"/>
                <w:sz w:val="21"/>
                <w:szCs w:val="21"/>
                <w:lang w:eastAsia="zh-CN"/>
              </w:rPr>
            </w:pP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280" w:lineRule="exact"/>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spacing w:line="280" w:lineRule="exact"/>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spacing w:line="280" w:lineRule="exact"/>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spacing w:line="280" w:lineRule="exact"/>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foot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0364A"/>
    <w:multiLevelType w:val="singleLevel"/>
    <w:tmpl w:val="59B036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1441"/>
    <w:rsid w:val="00004A6D"/>
    <w:rsid w:val="000073D0"/>
    <w:rsid w:val="0002523C"/>
    <w:rsid w:val="00033C7D"/>
    <w:rsid w:val="00036AF3"/>
    <w:rsid w:val="00041A32"/>
    <w:rsid w:val="000471C6"/>
    <w:rsid w:val="00047A12"/>
    <w:rsid w:val="000538AD"/>
    <w:rsid w:val="000576D6"/>
    <w:rsid w:val="00061F27"/>
    <w:rsid w:val="0006230F"/>
    <w:rsid w:val="00064267"/>
    <w:rsid w:val="0006698D"/>
    <w:rsid w:val="000679AD"/>
    <w:rsid w:val="00074651"/>
    <w:rsid w:val="0007472A"/>
    <w:rsid w:val="00077D10"/>
    <w:rsid w:val="00080AA4"/>
    <w:rsid w:val="00083621"/>
    <w:rsid w:val="00085E3A"/>
    <w:rsid w:val="00086C0E"/>
    <w:rsid w:val="00087B74"/>
    <w:rsid w:val="000908FE"/>
    <w:rsid w:val="00090FAC"/>
    <w:rsid w:val="000950D7"/>
    <w:rsid w:val="0009548B"/>
    <w:rsid w:val="000A17C0"/>
    <w:rsid w:val="000B2633"/>
    <w:rsid w:val="000B2E1A"/>
    <w:rsid w:val="000B5E39"/>
    <w:rsid w:val="000B626E"/>
    <w:rsid w:val="000C2407"/>
    <w:rsid w:val="000C2D4A"/>
    <w:rsid w:val="000D02F1"/>
    <w:rsid w:val="000E0AE8"/>
    <w:rsid w:val="000E52C1"/>
    <w:rsid w:val="000E704D"/>
    <w:rsid w:val="000F3C45"/>
    <w:rsid w:val="000F7F78"/>
    <w:rsid w:val="001058D0"/>
    <w:rsid w:val="00113514"/>
    <w:rsid w:val="0011603F"/>
    <w:rsid w:val="00122307"/>
    <w:rsid w:val="001258DD"/>
    <w:rsid w:val="00131556"/>
    <w:rsid w:val="0013693E"/>
    <w:rsid w:val="00141EC8"/>
    <w:rsid w:val="0014311A"/>
    <w:rsid w:val="00143F2A"/>
    <w:rsid w:val="001455E0"/>
    <w:rsid w:val="00150E03"/>
    <w:rsid w:val="00155E5A"/>
    <w:rsid w:val="0015626E"/>
    <w:rsid w:val="00171228"/>
    <w:rsid w:val="0017326E"/>
    <w:rsid w:val="00174D36"/>
    <w:rsid w:val="00187D39"/>
    <w:rsid w:val="001A54DD"/>
    <w:rsid w:val="001A5ECE"/>
    <w:rsid w:val="001B31E9"/>
    <w:rsid w:val="001B38A9"/>
    <w:rsid w:val="001B5634"/>
    <w:rsid w:val="001B7098"/>
    <w:rsid w:val="001C0173"/>
    <w:rsid w:val="001D28E8"/>
    <w:rsid w:val="001D4468"/>
    <w:rsid w:val="001E10E5"/>
    <w:rsid w:val="001E124D"/>
    <w:rsid w:val="001E3F30"/>
    <w:rsid w:val="001F20BC"/>
    <w:rsid w:val="001F3A94"/>
    <w:rsid w:val="001F4BCB"/>
    <w:rsid w:val="0020141D"/>
    <w:rsid w:val="00203FF0"/>
    <w:rsid w:val="0020474D"/>
    <w:rsid w:val="002111AE"/>
    <w:rsid w:val="00211AE2"/>
    <w:rsid w:val="0021290D"/>
    <w:rsid w:val="00225A30"/>
    <w:rsid w:val="00227119"/>
    <w:rsid w:val="002277AA"/>
    <w:rsid w:val="00232F54"/>
    <w:rsid w:val="0024107F"/>
    <w:rsid w:val="00241AA0"/>
    <w:rsid w:val="002428E4"/>
    <w:rsid w:val="00246566"/>
    <w:rsid w:val="00247F6F"/>
    <w:rsid w:val="00253630"/>
    <w:rsid w:val="002550A4"/>
    <w:rsid w:val="00262413"/>
    <w:rsid w:val="00263015"/>
    <w:rsid w:val="00267EE9"/>
    <w:rsid w:val="00286311"/>
    <w:rsid w:val="002869AE"/>
    <w:rsid w:val="00287BDD"/>
    <w:rsid w:val="00292A61"/>
    <w:rsid w:val="002B1530"/>
    <w:rsid w:val="002B18BC"/>
    <w:rsid w:val="002B1FF6"/>
    <w:rsid w:val="002B42EB"/>
    <w:rsid w:val="002C2305"/>
    <w:rsid w:val="002C23E9"/>
    <w:rsid w:val="002C3937"/>
    <w:rsid w:val="002C3D22"/>
    <w:rsid w:val="002C457A"/>
    <w:rsid w:val="002D1E80"/>
    <w:rsid w:val="002D49B7"/>
    <w:rsid w:val="002D5C18"/>
    <w:rsid w:val="002E27E1"/>
    <w:rsid w:val="002E2FDA"/>
    <w:rsid w:val="002E355D"/>
    <w:rsid w:val="002E77E8"/>
    <w:rsid w:val="002E7E11"/>
    <w:rsid w:val="002F1241"/>
    <w:rsid w:val="00302A6B"/>
    <w:rsid w:val="00302BCB"/>
    <w:rsid w:val="003044FA"/>
    <w:rsid w:val="00315032"/>
    <w:rsid w:val="003151DB"/>
    <w:rsid w:val="00315B63"/>
    <w:rsid w:val="00316504"/>
    <w:rsid w:val="003169B4"/>
    <w:rsid w:val="0034134F"/>
    <w:rsid w:val="00346429"/>
    <w:rsid w:val="003470D1"/>
    <w:rsid w:val="003549EF"/>
    <w:rsid w:val="003559C5"/>
    <w:rsid w:val="00364553"/>
    <w:rsid w:val="003652E2"/>
    <w:rsid w:val="00370BD8"/>
    <w:rsid w:val="00372F95"/>
    <w:rsid w:val="0037533B"/>
    <w:rsid w:val="0037561C"/>
    <w:rsid w:val="003961BA"/>
    <w:rsid w:val="00397372"/>
    <w:rsid w:val="003B2324"/>
    <w:rsid w:val="003B3491"/>
    <w:rsid w:val="003B546A"/>
    <w:rsid w:val="003B63AE"/>
    <w:rsid w:val="003B6829"/>
    <w:rsid w:val="003B7BF4"/>
    <w:rsid w:val="003C1476"/>
    <w:rsid w:val="003C2495"/>
    <w:rsid w:val="003C66D8"/>
    <w:rsid w:val="003C779F"/>
    <w:rsid w:val="003C7931"/>
    <w:rsid w:val="003D128D"/>
    <w:rsid w:val="003D3EF7"/>
    <w:rsid w:val="003D5DCC"/>
    <w:rsid w:val="003E03BD"/>
    <w:rsid w:val="003E211A"/>
    <w:rsid w:val="003E2F8B"/>
    <w:rsid w:val="003E66A6"/>
    <w:rsid w:val="003F27A3"/>
    <w:rsid w:val="003F2950"/>
    <w:rsid w:val="003F311E"/>
    <w:rsid w:val="003F33A4"/>
    <w:rsid w:val="0041076B"/>
    <w:rsid w:val="00412E32"/>
    <w:rsid w:val="00412E73"/>
    <w:rsid w:val="00413D10"/>
    <w:rsid w:val="004141BF"/>
    <w:rsid w:val="00414FC8"/>
    <w:rsid w:val="004172A2"/>
    <w:rsid w:val="0042340B"/>
    <w:rsid w:val="00430F9F"/>
    <w:rsid w:val="00431501"/>
    <w:rsid w:val="00431C14"/>
    <w:rsid w:val="00433F56"/>
    <w:rsid w:val="004433A5"/>
    <w:rsid w:val="00444896"/>
    <w:rsid w:val="00451125"/>
    <w:rsid w:val="004514AD"/>
    <w:rsid w:val="00452C2F"/>
    <w:rsid w:val="00456C4D"/>
    <w:rsid w:val="00457E42"/>
    <w:rsid w:val="004604B5"/>
    <w:rsid w:val="00466573"/>
    <w:rsid w:val="004700D6"/>
    <w:rsid w:val="004707B9"/>
    <w:rsid w:val="004719C4"/>
    <w:rsid w:val="00476241"/>
    <w:rsid w:val="00480B82"/>
    <w:rsid w:val="004854C9"/>
    <w:rsid w:val="004862F8"/>
    <w:rsid w:val="00491656"/>
    <w:rsid w:val="00495195"/>
    <w:rsid w:val="00496C3D"/>
    <w:rsid w:val="0049725C"/>
    <w:rsid w:val="004A4441"/>
    <w:rsid w:val="004A45FC"/>
    <w:rsid w:val="004A4DC0"/>
    <w:rsid w:val="004B0234"/>
    <w:rsid w:val="004B183C"/>
    <w:rsid w:val="004B3994"/>
    <w:rsid w:val="004B44B4"/>
    <w:rsid w:val="004B51A3"/>
    <w:rsid w:val="004B58C6"/>
    <w:rsid w:val="004B6B48"/>
    <w:rsid w:val="004C07F4"/>
    <w:rsid w:val="004C6A11"/>
    <w:rsid w:val="004C6A13"/>
    <w:rsid w:val="004E0481"/>
    <w:rsid w:val="004E2318"/>
    <w:rsid w:val="004E25B3"/>
    <w:rsid w:val="004E5A35"/>
    <w:rsid w:val="004E7804"/>
    <w:rsid w:val="004F1A21"/>
    <w:rsid w:val="004F2D5F"/>
    <w:rsid w:val="00500BB3"/>
    <w:rsid w:val="00501F01"/>
    <w:rsid w:val="00512AD4"/>
    <w:rsid w:val="0051401D"/>
    <w:rsid w:val="00515514"/>
    <w:rsid w:val="005170EB"/>
    <w:rsid w:val="00527B1E"/>
    <w:rsid w:val="00540738"/>
    <w:rsid w:val="00541C7A"/>
    <w:rsid w:val="005431D7"/>
    <w:rsid w:val="00544C9A"/>
    <w:rsid w:val="00544CE2"/>
    <w:rsid w:val="00545427"/>
    <w:rsid w:val="00556095"/>
    <w:rsid w:val="00557CE0"/>
    <w:rsid w:val="00562D6B"/>
    <w:rsid w:val="005639AB"/>
    <w:rsid w:val="00575FC9"/>
    <w:rsid w:val="00576B01"/>
    <w:rsid w:val="0058043D"/>
    <w:rsid w:val="0058586D"/>
    <w:rsid w:val="005911D3"/>
    <w:rsid w:val="005949E8"/>
    <w:rsid w:val="0059687A"/>
    <w:rsid w:val="005A5328"/>
    <w:rsid w:val="005B1A2E"/>
    <w:rsid w:val="005B392A"/>
    <w:rsid w:val="005B3C4D"/>
    <w:rsid w:val="005B66B2"/>
    <w:rsid w:val="005D2390"/>
    <w:rsid w:val="005D74D0"/>
    <w:rsid w:val="005E3216"/>
    <w:rsid w:val="005E38E4"/>
    <w:rsid w:val="005F174F"/>
    <w:rsid w:val="005F1CB1"/>
    <w:rsid w:val="005F3EFF"/>
    <w:rsid w:val="005F40F8"/>
    <w:rsid w:val="005F5CF0"/>
    <w:rsid w:val="006018E5"/>
    <w:rsid w:val="006038AD"/>
    <w:rsid w:val="00606621"/>
    <w:rsid w:val="00614E0A"/>
    <w:rsid w:val="006166B3"/>
    <w:rsid w:val="00617A69"/>
    <w:rsid w:val="006223FA"/>
    <w:rsid w:val="0062495C"/>
    <w:rsid w:val="0063410F"/>
    <w:rsid w:val="006341A0"/>
    <w:rsid w:val="006452E0"/>
    <w:rsid w:val="0065651C"/>
    <w:rsid w:val="00667ED8"/>
    <w:rsid w:val="00673BDC"/>
    <w:rsid w:val="00681FDA"/>
    <w:rsid w:val="00682F55"/>
    <w:rsid w:val="00683DFB"/>
    <w:rsid w:val="0068477B"/>
    <w:rsid w:val="006950BE"/>
    <w:rsid w:val="006962D1"/>
    <w:rsid w:val="006A2CAD"/>
    <w:rsid w:val="006A57B1"/>
    <w:rsid w:val="006B26E0"/>
    <w:rsid w:val="006B7981"/>
    <w:rsid w:val="006C7B2C"/>
    <w:rsid w:val="006D04D2"/>
    <w:rsid w:val="006D5DEB"/>
    <w:rsid w:val="006E5023"/>
    <w:rsid w:val="006F41B7"/>
    <w:rsid w:val="006F5D71"/>
    <w:rsid w:val="006F7260"/>
    <w:rsid w:val="00701C03"/>
    <w:rsid w:val="00701D56"/>
    <w:rsid w:val="007177E7"/>
    <w:rsid w:val="007255E0"/>
    <w:rsid w:val="00735FDE"/>
    <w:rsid w:val="0074269A"/>
    <w:rsid w:val="00744D9B"/>
    <w:rsid w:val="007507E6"/>
    <w:rsid w:val="0075313E"/>
    <w:rsid w:val="00753E71"/>
    <w:rsid w:val="00754A3C"/>
    <w:rsid w:val="00756B00"/>
    <w:rsid w:val="007635ED"/>
    <w:rsid w:val="00766ACB"/>
    <w:rsid w:val="00770F0D"/>
    <w:rsid w:val="00772D45"/>
    <w:rsid w:val="00773856"/>
    <w:rsid w:val="00776AF2"/>
    <w:rsid w:val="007807D1"/>
    <w:rsid w:val="00785779"/>
    <w:rsid w:val="0078654D"/>
    <w:rsid w:val="00787394"/>
    <w:rsid w:val="00790836"/>
    <w:rsid w:val="007918A7"/>
    <w:rsid w:val="007A154B"/>
    <w:rsid w:val="007A51C7"/>
    <w:rsid w:val="007A51D4"/>
    <w:rsid w:val="007A6CC5"/>
    <w:rsid w:val="007B0C9B"/>
    <w:rsid w:val="007C288B"/>
    <w:rsid w:val="007C2C15"/>
    <w:rsid w:val="007D185F"/>
    <w:rsid w:val="007E2089"/>
    <w:rsid w:val="007F4895"/>
    <w:rsid w:val="007F4F92"/>
    <w:rsid w:val="00805905"/>
    <w:rsid w:val="00806A41"/>
    <w:rsid w:val="0081362B"/>
    <w:rsid w:val="008147FF"/>
    <w:rsid w:val="00815F78"/>
    <w:rsid w:val="008160EE"/>
    <w:rsid w:val="00827AB2"/>
    <w:rsid w:val="00836ED8"/>
    <w:rsid w:val="00841DB4"/>
    <w:rsid w:val="0084553C"/>
    <w:rsid w:val="008466D4"/>
    <w:rsid w:val="00846B38"/>
    <w:rsid w:val="008512DF"/>
    <w:rsid w:val="00851445"/>
    <w:rsid w:val="00852A6D"/>
    <w:rsid w:val="00855020"/>
    <w:rsid w:val="008566E6"/>
    <w:rsid w:val="00861D3F"/>
    <w:rsid w:val="00863949"/>
    <w:rsid w:val="00863E5C"/>
    <w:rsid w:val="00871AF9"/>
    <w:rsid w:val="0088151F"/>
    <w:rsid w:val="00885E54"/>
    <w:rsid w:val="00885EED"/>
    <w:rsid w:val="008913DE"/>
    <w:rsid w:val="0089142B"/>
    <w:rsid w:val="00891436"/>
    <w:rsid w:val="00892ADC"/>
    <w:rsid w:val="00892D8A"/>
    <w:rsid w:val="0089553E"/>
    <w:rsid w:val="00896971"/>
    <w:rsid w:val="00897AFB"/>
    <w:rsid w:val="008A10B3"/>
    <w:rsid w:val="008A2CBB"/>
    <w:rsid w:val="008B49F5"/>
    <w:rsid w:val="008B5A74"/>
    <w:rsid w:val="008C4E46"/>
    <w:rsid w:val="008C68C3"/>
    <w:rsid w:val="008D274E"/>
    <w:rsid w:val="008E0172"/>
    <w:rsid w:val="008F2C25"/>
    <w:rsid w:val="008F3CE4"/>
    <w:rsid w:val="008F6642"/>
    <w:rsid w:val="00903FE9"/>
    <w:rsid w:val="00911A70"/>
    <w:rsid w:val="00916FD7"/>
    <w:rsid w:val="00917C66"/>
    <w:rsid w:val="00931310"/>
    <w:rsid w:val="00931FE8"/>
    <w:rsid w:val="009349EE"/>
    <w:rsid w:val="009407C1"/>
    <w:rsid w:val="00940933"/>
    <w:rsid w:val="009437A9"/>
    <w:rsid w:val="009460A6"/>
    <w:rsid w:val="009473B0"/>
    <w:rsid w:val="009537D7"/>
    <w:rsid w:val="009551D7"/>
    <w:rsid w:val="0095615C"/>
    <w:rsid w:val="009606F7"/>
    <w:rsid w:val="00963243"/>
    <w:rsid w:val="00965B5E"/>
    <w:rsid w:val="0096629C"/>
    <w:rsid w:val="00975AA6"/>
    <w:rsid w:val="009815F6"/>
    <w:rsid w:val="00986A80"/>
    <w:rsid w:val="00987948"/>
    <w:rsid w:val="00987F07"/>
    <w:rsid w:val="00991817"/>
    <w:rsid w:val="009927AB"/>
    <w:rsid w:val="00996864"/>
    <w:rsid w:val="009A1A8A"/>
    <w:rsid w:val="009A2B5C"/>
    <w:rsid w:val="009A4ABD"/>
    <w:rsid w:val="009A64FD"/>
    <w:rsid w:val="009B1339"/>
    <w:rsid w:val="009B3EAE"/>
    <w:rsid w:val="009B521B"/>
    <w:rsid w:val="009C024F"/>
    <w:rsid w:val="009C3354"/>
    <w:rsid w:val="009C4908"/>
    <w:rsid w:val="009C70C8"/>
    <w:rsid w:val="009C7FBA"/>
    <w:rsid w:val="009D1970"/>
    <w:rsid w:val="009D3079"/>
    <w:rsid w:val="009D7EF1"/>
    <w:rsid w:val="009F5988"/>
    <w:rsid w:val="00A056FA"/>
    <w:rsid w:val="00A20E6C"/>
    <w:rsid w:val="00A40B84"/>
    <w:rsid w:val="00A43159"/>
    <w:rsid w:val="00A4543C"/>
    <w:rsid w:val="00A50094"/>
    <w:rsid w:val="00A52C95"/>
    <w:rsid w:val="00A659A5"/>
    <w:rsid w:val="00A73A8F"/>
    <w:rsid w:val="00A75AE5"/>
    <w:rsid w:val="00A76833"/>
    <w:rsid w:val="00A81AB3"/>
    <w:rsid w:val="00A8235A"/>
    <w:rsid w:val="00A8450A"/>
    <w:rsid w:val="00A84D68"/>
    <w:rsid w:val="00A85774"/>
    <w:rsid w:val="00A92941"/>
    <w:rsid w:val="00A96B5C"/>
    <w:rsid w:val="00A97ED1"/>
    <w:rsid w:val="00AA199F"/>
    <w:rsid w:val="00AA2714"/>
    <w:rsid w:val="00AA7E3E"/>
    <w:rsid w:val="00AB00C2"/>
    <w:rsid w:val="00AC0B28"/>
    <w:rsid w:val="00AC4907"/>
    <w:rsid w:val="00AC6670"/>
    <w:rsid w:val="00AC7D62"/>
    <w:rsid w:val="00AD5B92"/>
    <w:rsid w:val="00AD5E60"/>
    <w:rsid w:val="00AE19E3"/>
    <w:rsid w:val="00AE1F85"/>
    <w:rsid w:val="00AE28D2"/>
    <w:rsid w:val="00AE48DD"/>
    <w:rsid w:val="00AE4B84"/>
    <w:rsid w:val="00AF0DC1"/>
    <w:rsid w:val="00B053EC"/>
    <w:rsid w:val="00B076F8"/>
    <w:rsid w:val="00B15929"/>
    <w:rsid w:val="00B1758F"/>
    <w:rsid w:val="00B1777C"/>
    <w:rsid w:val="00B20141"/>
    <w:rsid w:val="00B22829"/>
    <w:rsid w:val="00B2417F"/>
    <w:rsid w:val="00B2498F"/>
    <w:rsid w:val="00B27FDD"/>
    <w:rsid w:val="00B401EA"/>
    <w:rsid w:val="00B44BF9"/>
    <w:rsid w:val="00B47834"/>
    <w:rsid w:val="00B504DE"/>
    <w:rsid w:val="00B540B4"/>
    <w:rsid w:val="00B66E73"/>
    <w:rsid w:val="00B71C1B"/>
    <w:rsid w:val="00B737A8"/>
    <w:rsid w:val="00B91478"/>
    <w:rsid w:val="00BA022E"/>
    <w:rsid w:val="00BA0BA3"/>
    <w:rsid w:val="00BA1E68"/>
    <w:rsid w:val="00BB0CBF"/>
    <w:rsid w:val="00BB35F5"/>
    <w:rsid w:val="00BB3901"/>
    <w:rsid w:val="00BC0995"/>
    <w:rsid w:val="00BC65F4"/>
    <w:rsid w:val="00BD5161"/>
    <w:rsid w:val="00BD51C8"/>
    <w:rsid w:val="00BD5E19"/>
    <w:rsid w:val="00BE3A1B"/>
    <w:rsid w:val="00BE7E03"/>
    <w:rsid w:val="00BF0A2D"/>
    <w:rsid w:val="00BF5EDE"/>
    <w:rsid w:val="00C01EB5"/>
    <w:rsid w:val="00C03B4F"/>
    <w:rsid w:val="00C0636E"/>
    <w:rsid w:val="00C162AD"/>
    <w:rsid w:val="00C20099"/>
    <w:rsid w:val="00C311DA"/>
    <w:rsid w:val="00C351E9"/>
    <w:rsid w:val="00C36FE7"/>
    <w:rsid w:val="00C37AA4"/>
    <w:rsid w:val="00C40C9D"/>
    <w:rsid w:val="00C41D05"/>
    <w:rsid w:val="00C470AA"/>
    <w:rsid w:val="00C47E08"/>
    <w:rsid w:val="00C5088E"/>
    <w:rsid w:val="00C51D7C"/>
    <w:rsid w:val="00C550A5"/>
    <w:rsid w:val="00C573F5"/>
    <w:rsid w:val="00C65946"/>
    <w:rsid w:val="00C705DD"/>
    <w:rsid w:val="00C733E9"/>
    <w:rsid w:val="00C76FA2"/>
    <w:rsid w:val="00C85CD9"/>
    <w:rsid w:val="00C873EC"/>
    <w:rsid w:val="00CA1AB8"/>
    <w:rsid w:val="00CA5C42"/>
    <w:rsid w:val="00CB094C"/>
    <w:rsid w:val="00CC2C22"/>
    <w:rsid w:val="00CC4A46"/>
    <w:rsid w:val="00CC534C"/>
    <w:rsid w:val="00CD2F8F"/>
    <w:rsid w:val="00CE176C"/>
    <w:rsid w:val="00CE7FE3"/>
    <w:rsid w:val="00CF5424"/>
    <w:rsid w:val="00D00FCB"/>
    <w:rsid w:val="00D02ADB"/>
    <w:rsid w:val="00D05784"/>
    <w:rsid w:val="00D076AA"/>
    <w:rsid w:val="00D143EE"/>
    <w:rsid w:val="00D2200B"/>
    <w:rsid w:val="00D24C74"/>
    <w:rsid w:val="00D31971"/>
    <w:rsid w:val="00D3349D"/>
    <w:rsid w:val="00D33A8E"/>
    <w:rsid w:val="00D358AB"/>
    <w:rsid w:val="00D4167F"/>
    <w:rsid w:val="00D41C08"/>
    <w:rsid w:val="00D42B75"/>
    <w:rsid w:val="00D45151"/>
    <w:rsid w:val="00D45246"/>
    <w:rsid w:val="00D534C7"/>
    <w:rsid w:val="00D558EF"/>
    <w:rsid w:val="00D6062B"/>
    <w:rsid w:val="00D62B41"/>
    <w:rsid w:val="00D66978"/>
    <w:rsid w:val="00D80FF9"/>
    <w:rsid w:val="00D81B9E"/>
    <w:rsid w:val="00D848F5"/>
    <w:rsid w:val="00D945F5"/>
    <w:rsid w:val="00DA3AF0"/>
    <w:rsid w:val="00DA41C9"/>
    <w:rsid w:val="00DA5690"/>
    <w:rsid w:val="00DA5D2D"/>
    <w:rsid w:val="00DA73E4"/>
    <w:rsid w:val="00DB45CF"/>
    <w:rsid w:val="00DB5724"/>
    <w:rsid w:val="00DC0FC4"/>
    <w:rsid w:val="00DD072D"/>
    <w:rsid w:val="00DE777B"/>
    <w:rsid w:val="00DF24E8"/>
    <w:rsid w:val="00DF4B34"/>
    <w:rsid w:val="00DF566A"/>
    <w:rsid w:val="00DF5993"/>
    <w:rsid w:val="00DF5C03"/>
    <w:rsid w:val="00DF7AFF"/>
    <w:rsid w:val="00E0505F"/>
    <w:rsid w:val="00E10037"/>
    <w:rsid w:val="00E100A1"/>
    <w:rsid w:val="00E11832"/>
    <w:rsid w:val="00E1195A"/>
    <w:rsid w:val="00E12299"/>
    <w:rsid w:val="00E14DD3"/>
    <w:rsid w:val="00E24C2F"/>
    <w:rsid w:val="00E27D04"/>
    <w:rsid w:val="00E27F67"/>
    <w:rsid w:val="00E30CCE"/>
    <w:rsid w:val="00E33CCB"/>
    <w:rsid w:val="00E36E7C"/>
    <w:rsid w:val="00E376F7"/>
    <w:rsid w:val="00E413E8"/>
    <w:rsid w:val="00E4435B"/>
    <w:rsid w:val="00E479AA"/>
    <w:rsid w:val="00E50306"/>
    <w:rsid w:val="00E53E23"/>
    <w:rsid w:val="00E54B9C"/>
    <w:rsid w:val="00E55531"/>
    <w:rsid w:val="00E55AFD"/>
    <w:rsid w:val="00E56135"/>
    <w:rsid w:val="00E60C46"/>
    <w:rsid w:val="00E6343B"/>
    <w:rsid w:val="00E66B29"/>
    <w:rsid w:val="00E715EC"/>
    <w:rsid w:val="00E80264"/>
    <w:rsid w:val="00E84782"/>
    <w:rsid w:val="00E8522C"/>
    <w:rsid w:val="00E852A9"/>
    <w:rsid w:val="00E85F0D"/>
    <w:rsid w:val="00E86730"/>
    <w:rsid w:val="00E935AE"/>
    <w:rsid w:val="00E95197"/>
    <w:rsid w:val="00EA5046"/>
    <w:rsid w:val="00EA5CA7"/>
    <w:rsid w:val="00EA73DB"/>
    <w:rsid w:val="00EB4941"/>
    <w:rsid w:val="00EC2B32"/>
    <w:rsid w:val="00EC49DB"/>
    <w:rsid w:val="00EC5975"/>
    <w:rsid w:val="00EC64C5"/>
    <w:rsid w:val="00ED0700"/>
    <w:rsid w:val="00ED3FCA"/>
    <w:rsid w:val="00ED52D1"/>
    <w:rsid w:val="00ED636A"/>
    <w:rsid w:val="00EE3716"/>
    <w:rsid w:val="00EF064F"/>
    <w:rsid w:val="00EF312B"/>
    <w:rsid w:val="00EF4B17"/>
    <w:rsid w:val="00F16511"/>
    <w:rsid w:val="00F16914"/>
    <w:rsid w:val="00F24279"/>
    <w:rsid w:val="00F31667"/>
    <w:rsid w:val="00F50640"/>
    <w:rsid w:val="00F50C88"/>
    <w:rsid w:val="00F52A8A"/>
    <w:rsid w:val="00F53C74"/>
    <w:rsid w:val="00F55EDD"/>
    <w:rsid w:val="00F56F61"/>
    <w:rsid w:val="00F617C2"/>
    <w:rsid w:val="00F6455B"/>
    <w:rsid w:val="00F70B21"/>
    <w:rsid w:val="00F73FCD"/>
    <w:rsid w:val="00F83471"/>
    <w:rsid w:val="00F94E88"/>
    <w:rsid w:val="00F9559F"/>
    <w:rsid w:val="00F96D96"/>
    <w:rsid w:val="00FA4DD0"/>
    <w:rsid w:val="00FB0E5D"/>
    <w:rsid w:val="00FB40FF"/>
    <w:rsid w:val="00FB43FE"/>
    <w:rsid w:val="00FB68F9"/>
    <w:rsid w:val="00FC02B4"/>
    <w:rsid w:val="00FC27E0"/>
    <w:rsid w:val="00FC5E11"/>
    <w:rsid w:val="00FC7572"/>
    <w:rsid w:val="00FC7E68"/>
    <w:rsid w:val="00FD1062"/>
    <w:rsid w:val="00FD143D"/>
    <w:rsid w:val="00FE22C8"/>
    <w:rsid w:val="00FE48FF"/>
    <w:rsid w:val="00FF2988"/>
    <w:rsid w:val="00FF61AE"/>
    <w:rsid w:val="011505EA"/>
    <w:rsid w:val="248C7DF6"/>
    <w:rsid w:val="266C4C47"/>
    <w:rsid w:val="276533B8"/>
    <w:rsid w:val="28AD1D92"/>
    <w:rsid w:val="2C23799B"/>
    <w:rsid w:val="35FF7FE8"/>
    <w:rsid w:val="42C66CD5"/>
    <w:rsid w:val="498505BB"/>
    <w:rsid w:val="514264C3"/>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exact"/>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pPr>
      <w:spacing w:after="0"/>
    </w:pPr>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FollowedHyperlink"/>
    <w:basedOn w:val="7"/>
    <w:unhideWhenUsed/>
    <w:uiPriority w:val="0"/>
    <w:rPr>
      <w:color w:val="000000"/>
      <w:u w:val="none"/>
    </w:rPr>
  </w:style>
  <w:style w:type="character" w:styleId="9">
    <w:name w:val="Hyperlink"/>
    <w:basedOn w:val="7"/>
    <w:unhideWhenUsed/>
    <w:uiPriority w:val="0"/>
    <w:rPr>
      <w:color w:val="0563C1" w:themeColor="hyperlink"/>
      <w:u w:val="single"/>
    </w:rPr>
  </w:style>
  <w:style w:type="character" w:styleId="10">
    <w:name w:val="HTML Code"/>
    <w:basedOn w:val="7"/>
    <w:unhideWhenUsed/>
    <w:uiPriority w:val="0"/>
    <w:rPr>
      <w:rFonts w:ascii="Courier New" w:hAnsi="Courier New"/>
      <w:sz w:val="20"/>
    </w:rPr>
  </w:style>
  <w:style w:type="paragraph" w:customStyle="1" w:styleId="11">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2">
    <w:name w:val="fontstyle01"/>
    <w:basedOn w:val="7"/>
    <w:qFormat/>
    <w:uiPriority w:val="0"/>
    <w:rPr>
      <w:rFonts w:ascii="CIDFont + F2" w:hAnsi="CIDFont + F2" w:eastAsia="CIDFont + F2" w:cs="CIDFont + F2"/>
      <w:color w:val="000000"/>
      <w:sz w:val="20"/>
      <w:szCs w:val="20"/>
    </w:rPr>
  </w:style>
  <w:style w:type="character" w:customStyle="1" w:styleId="13">
    <w:name w:val="页眉 Char"/>
    <w:basedOn w:val="7"/>
    <w:link w:val="4"/>
    <w:qFormat/>
    <w:uiPriority w:val="0"/>
    <w:rPr>
      <w:rFonts w:eastAsia="PMingLiU"/>
      <w:sz w:val="18"/>
      <w:szCs w:val="18"/>
      <w:lang w:eastAsia="en-US"/>
    </w:rPr>
  </w:style>
  <w:style w:type="character" w:customStyle="1" w:styleId="14">
    <w:name w:val="页脚 Char"/>
    <w:basedOn w:val="7"/>
    <w:link w:val="3"/>
    <w:qFormat/>
    <w:uiPriority w:val="0"/>
    <w:rPr>
      <w:rFonts w:eastAsia="PMingLiU"/>
      <w:sz w:val="18"/>
      <w:szCs w:val="18"/>
      <w:lang w:eastAsia="en-US"/>
    </w:rPr>
  </w:style>
  <w:style w:type="paragraph" w:customStyle="1" w:styleId="15">
    <w:name w:val="列出段落2"/>
    <w:basedOn w:val="1"/>
    <w:unhideWhenUsed/>
    <w:qFormat/>
    <w:uiPriority w:val="34"/>
    <w:pPr>
      <w:ind w:firstLine="420" w:firstLineChars="200"/>
    </w:pPr>
  </w:style>
  <w:style w:type="character" w:customStyle="1" w:styleId="16">
    <w:name w:val="批注框文本 Char"/>
    <w:basedOn w:val="7"/>
    <w:link w:val="2"/>
    <w:qFormat/>
    <w:uiPriority w:val="0"/>
    <w:rPr>
      <w:rFonts w:eastAsia="PMingLiU"/>
      <w:sz w:val="18"/>
      <w:szCs w:val="18"/>
      <w:lang w:eastAsia="en-U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4C0EC-C0E4-4AAE-8108-62C948D73AB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440</Words>
  <Characters>2510</Characters>
  <Lines>20</Lines>
  <Paragraphs>5</Paragraphs>
  <TotalTime>0</TotalTime>
  <ScaleCrop>false</ScaleCrop>
  <LinksUpToDate>false</LinksUpToDate>
  <CharactersWithSpaces>2945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2019-09-10T06:45:00Z</dcterms:created>
  <dc:creator>lenovo</dc:creator>
  <cp:lastModifiedBy>落情湖</cp:lastModifiedBy>
  <cp:lastPrinted>2017-01-05T16:24:00Z</cp:lastPrinted>
  <dcterms:modified xsi:type="dcterms:W3CDTF">2019-09-27T03:31:03Z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